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737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仿宋" w:eastAsia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仿宋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  </w:t>
      </w:r>
      <w:bookmarkStart w:id="0" w:name="_GoBack"/>
      <w:bookmarkEnd w:id="0"/>
      <w:r>
        <w:rPr>
          <w:rFonts w:hint="eastAsia" w:ascii="Times New Roman" w:hAnsi="Times New Roman" w:eastAsia="宋体" w:cs="仿宋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表7      临床疗效评价参考标准及频次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>=165</w:t>
      </w:r>
    </w:p>
    <w:tbl>
      <w:tblPr>
        <w:tblStyle w:val="12"/>
        <w:tblpPr w:leftFromText="180" w:rightFromText="180" w:vertAnchor="text" w:horzAnchor="page" w:tblpXSpec="center" w:tblpY="189"/>
        <w:tblOverlap w:val="never"/>
        <w:tblW w:w="1039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720"/>
        <w:gridCol w:w="778"/>
        <w:gridCol w:w="4039"/>
        <w:gridCol w:w="786"/>
        <w:gridCol w:w="670"/>
      </w:tblGrid>
      <w:tr w14:paraId="6E83DE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401" w:type="dxa"/>
            <w:tcBorders>
              <w:bottom w:val="single" w:color="auto" w:sz="4" w:space="0"/>
            </w:tcBorders>
            <w:vAlign w:val="center"/>
          </w:tcPr>
          <w:p w14:paraId="008D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临床疗效评价参考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57EEE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频次</w:t>
            </w:r>
          </w:p>
        </w:tc>
        <w:tc>
          <w:tcPr>
            <w:tcW w:w="778" w:type="dxa"/>
            <w:tcBorders>
              <w:bottom w:val="single" w:color="auto" w:sz="4" w:space="0"/>
            </w:tcBorders>
            <w:vAlign w:val="center"/>
          </w:tcPr>
          <w:p w14:paraId="0032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占比</w:t>
            </w:r>
          </w:p>
        </w:tc>
        <w:tc>
          <w:tcPr>
            <w:tcW w:w="4039" w:type="dxa"/>
            <w:tcBorders>
              <w:bottom w:val="single" w:color="auto" w:sz="4" w:space="0"/>
            </w:tcBorders>
            <w:vAlign w:val="center"/>
          </w:tcPr>
          <w:p w14:paraId="00DA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临床疗效评价参考</w:t>
            </w:r>
          </w:p>
        </w:tc>
        <w:tc>
          <w:tcPr>
            <w:tcW w:w="786" w:type="dxa"/>
            <w:tcBorders>
              <w:bottom w:val="single" w:color="auto" w:sz="4" w:space="0"/>
            </w:tcBorders>
            <w:vAlign w:val="center"/>
          </w:tcPr>
          <w:p w14:paraId="4D7AC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频次</w:t>
            </w:r>
          </w:p>
        </w:tc>
        <w:tc>
          <w:tcPr>
            <w:tcW w:w="670" w:type="dxa"/>
            <w:tcBorders>
              <w:bottom w:val="single" w:color="auto" w:sz="4" w:space="0"/>
            </w:tcBorders>
            <w:vAlign w:val="center"/>
          </w:tcPr>
          <w:p w14:paraId="20E46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占比</w:t>
            </w:r>
          </w:p>
        </w:tc>
      </w:tr>
      <w:tr w14:paraId="086AE16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1297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中药新药临床研究指导原则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[19]</w:t>
            </w:r>
          </w:p>
        </w:tc>
        <w:tc>
          <w:tcPr>
            <w:tcW w:w="72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0218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8168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18.2%</w:t>
            </w:r>
          </w:p>
        </w:tc>
        <w:tc>
          <w:tcPr>
            <w:tcW w:w="403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13E3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儿童支气管哮喘诊断与防治指南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[15]</w:t>
            </w:r>
          </w:p>
        </w:tc>
        <w:tc>
          <w:tcPr>
            <w:tcW w:w="78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D3A3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6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4F2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9.7%</w:t>
            </w:r>
          </w:p>
        </w:tc>
      </w:tr>
      <w:tr w14:paraId="464DD1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l2br w:val="nil"/>
              <w:tr2bl w:val="nil"/>
            </w:tcBorders>
            <w:vAlign w:val="center"/>
          </w:tcPr>
          <w:p w14:paraId="2576D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中医病症诊断疗效标准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[16]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08B7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14:paraId="6D46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7.3%</w:t>
            </w:r>
          </w:p>
        </w:tc>
        <w:tc>
          <w:tcPr>
            <w:tcW w:w="4039" w:type="dxa"/>
            <w:tcBorders>
              <w:tl2br w:val="nil"/>
              <w:tr2bl w:val="nil"/>
            </w:tcBorders>
            <w:vAlign w:val="center"/>
          </w:tcPr>
          <w:p w14:paraId="56529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微软雅黑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中药新药临床试验设计与评价技术指南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[31]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04B7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 w14:paraId="0B00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3.6%</w:t>
            </w:r>
          </w:p>
        </w:tc>
      </w:tr>
      <w:tr w14:paraId="267EAB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l2br w:val="nil"/>
              <w:tr2bl w:val="nil"/>
            </w:tcBorders>
            <w:vAlign w:val="center"/>
          </w:tcPr>
          <w:p w14:paraId="3DEDE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微软雅黑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儿童哮喘防治常规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[30]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E3B4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14:paraId="66141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3.6%</w:t>
            </w:r>
          </w:p>
        </w:tc>
        <w:tc>
          <w:tcPr>
            <w:tcW w:w="4039" w:type="dxa"/>
            <w:tcBorders>
              <w:tl2br w:val="nil"/>
              <w:tr2bl w:val="nil"/>
            </w:tcBorders>
            <w:vAlign w:val="center"/>
          </w:tcPr>
          <w:p w14:paraId="0904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全球哮喘防治创议（GINA）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[22]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611E7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 w14:paraId="107AB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3.0%</w:t>
            </w:r>
          </w:p>
        </w:tc>
      </w:tr>
      <w:tr w14:paraId="587C5B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l2br w:val="nil"/>
              <w:tr2bl w:val="nil"/>
            </w:tcBorders>
            <w:vAlign w:val="center"/>
          </w:tcPr>
          <w:p w14:paraId="5CA85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支气管哮喘防治指南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[23]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F315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14:paraId="17F9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3.0%</w:t>
            </w:r>
          </w:p>
        </w:tc>
        <w:tc>
          <w:tcPr>
            <w:tcW w:w="4039" w:type="dxa"/>
            <w:tcBorders>
              <w:tl2br w:val="nil"/>
              <w:tr2bl w:val="nil"/>
            </w:tcBorders>
            <w:vAlign w:val="center"/>
          </w:tcPr>
          <w:p w14:paraId="3C03C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微软雅黑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/>
              </w:rPr>
              <w:t>儿童支气管哮喘防治常规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[32]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10E4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70" w:type="dxa"/>
            <w:tcBorders>
              <w:tl2br w:val="nil"/>
              <w:tr2bl w:val="nil"/>
            </w:tcBorders>
            <w:vAlign w:val="center"/>
          </w:tcPr>
          <w:p w14:paraId="1332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1.8%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9A5089-F246-4444-BE4B-745087E57F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378C7D5-C917-4043-9BCF-6490E47877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68FD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3A297F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3F479E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427</Characters>
  <Lines>0</Lines>
  <Paragraphs>0</Paragraphs>
  <TotalTime>11</TotalTime>
  <ScaleCrop>false</ScaleCrop>
  <LinksUpToDate>false</LinksUpToDate>
  <CharactersWithSpaces>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6CA15A069A2B4E37B0B75D19CF8D3855_13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