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52C25D">
      <w:pPr>
        <w:pStyle w:val="6"/>
        <w:spacing w:line="360" w:lineRule="auto"/>
        <w:jc w:val="center"/>
        <w:rPr>
          <w:rFonts w:hint="default" w:ascii="宋体" w:hAnsi="宋体" w:eastAsia="宋体" w:cs="宋体"/>
          <w:b/>
          <w:bCs/>
          <w:sz w:val="18"/>
          <w:szCs w:val="18"/>
          <w:shd w:val="clear" w:fill="auto"/>
          <w:lang w:val="en-US" w:eastAsia="zh-CN"/>
        </w:rPr>
      </w:pPr>
      <w:bookmarkStart w:id="0" w:name="OLE_LINK17"/>
      <w:r>
        <w:rPr>
          <w:rFonts w:hint="eastAsia" w:ascii="宋体" w:hAnsi="宋体" w:eastAsia="宋体" w:cs="宋体"/>
          <w:b/>
          <w:bCs/>
          <w:sz w:val="18"/>
          <w:szCs w:val="18"/>
          <w:shd w:val="clear" w:fill="auto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/>
          <w:sz w:val="18"/>
          <w:szCs w:val="18"/>
          <w:shd w:val="clear" w:fill="auto"/>
        </w:rPr>
        <w:t>表 4</w:t>
      </w:r>
      <w:r>
        <w:rPr>
          <w:rFonts w:hint="eastAsia" w:ascii="宋体" w:hAnsi="宋体" w:eastAsia="宋体" w:cs="宋体"/>
          <w:b/>
          <w:bCs/>
          <w:sz w:val="18"/>
          <w:szCs w:val="18"/>
          <w:shd w:val="clear" w:fill="auto"/>
          <w:lang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z w:val="18"/>
          <w:szCs w:val="18"/>
          <w:shd w:val="clear" w:fill="auto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/>
          <w:sz w:val="18"/>
          <w:szCs w:val="18"/>
          <w:shd w:val="clear" w:fill="auto"/>
          <w:lang w:eastAsia="zh-CN"/>
        </w:rPr>
        <w:t>各维度统计检验结果</w:t>
      </w:r>
      <w:r>
        <w:rPr>
          <w:rFonts w:hint="eastAsia" w:ascii="宋体" w:hAnsi="宋体" w:eastAsia="宋体" w:cs="宋体"/>
          <w:b/>
          <w:bCs/>
          <w:sz w:val="18"/>
          <w:szCs w:val="18"/>
          <w:shd w:val="clear" w:fill="auto"/>
          <w:lang w:val="en-US" w:eastAsia="zh-CN"/>
        </w:rPr>
        <w:t xml:space="preserve">    [</w:t>
      </w:r>
      <w:r>
        <w:rPr>
          <w:rFonts w:hint="eastAsia" w:ascii="宋体" w:hAnsi="宋体" w:eastAsia="宋体" w:cs="宋体"/>
          <w:b/>
          <w:bCs/>
          <w:color w:val="auto"/>
          <w:sz w:val="18"/>
          <w:szCs w:val="18"/>
          <w:shd w:val="clear" w:color="auto" w:fill="FFFFFF"/>
        </w:rPr>
        <w:t>（</w:t>
      </w:r>
      <w:r>
        <w:rPr>
          <w:rFonts w:hint="eastAsia" w:ascii="宋体" w:hAnsi="宋体" w:eastAsia="宋体" w:cs="宋体"/>
          <w:b/>
          <w:bCs/>
          <w:color w:val="auto"/>
          <w:sz w:val="18"/>
          <w:szCs w:val="18"/>
          <w:shd w:val="clear" w:color="auto" w:fill="FFFFFF"/>
        </w:rPr>
        <w:sym w:font="Symbol" w:char="F060"/>
      </w:r>
      <w:r>
        <w:rPr>
          <w:rFonts w:hint="default" w:ascii="Times New Roman" w:hAnsi="Times New Roman" w:eastAsia="宋体" w:cs="Times New Roman"/>
          <w:b/>
          <w:bCs/>
          <w:i/>
          <w:iCs/>
          <w:color w:val="auto"/>
          <w:sz w:val="18"/>
          <w:szCs w:val="18"/>
        </w:rPr>
        <w:t>x</w:t>
      </w:r>
      <w:r>
        <w:rPr>
          <w:rFonts w:hint="default" w:ascii="Times New Roman" w:hAnsi="Times New Roman" w:eastAsia="宋体" w:cs="Times New Roman"/>
          <w:b/>
          <w:bCs/>
          <w:color w:val="auto"/>
          <w:sz w:val="18"/>
          <w:szCs w:val="18"/>
        </w:rPr>
        <w:t>±</w:t>
      </w:r>
      <w:r>
        <w:rPr>
          <w:rFonts w:hint="default" w:ascii="Times New Roman" w:hAnsi="Times New Roman" w:eastAsia="宋体" w:cs="Times New Roman"/>
          <w:b/>
          <w:bCs/>
          <w:i/>
          <w:iCs/>
          <w:color w:val="auto"/>
          <w:sz w:val="18"/>
          <w:szCs w:val="18"/>
        </w:rPr>
        <w:t>s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18"/>
          <w:szCs w:val="18"/>
          <w:lang w:eastAsia="zh-CN"/>
        </w:rPr>
        <w:t>，</w:t>
      </w:r>
      <w:r>
        <w:rPr>
          <w:rFonts w:hint="eastAsia" w:ascii="Times New Roman" w:hAnsi="Times New Roman" w:eastAsia="宋体" w:cs="Times New Roman"/>
          <w:b/>
          <w:bCs/>
          <w:i/>
          <w:iCs/>
          <w:color w:val="auto"/>
          <w:sz w:val="18"/>
          <w:szCs w:val="18"/>
          <w:lang w:val="en-US" w:eastAsia="zh-CN"/>
        </w:rPr>
        <w:t>M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auto"/>
          <w:sz w:val="18"/>
          <w:szCs w:val="18"/>
          <w:lang w:val="en-US" w:eastAsia="zh-CN"/>
        </w:rPr>
        <w:t>（</w:t>
      </w:r>
      <w:r>
        <w:rPr>
          <w:rFonts w:hint="eastAsia" w:ascii="Times New Roman" w:hAnsi="Times New Roman" w:eastAsia="宋体" w:cs="Times New Roman"/>
          <w:b/>
          <w:bCs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auto"/>
          <w:sz w:val="18"/>
          <w:szCs w:val="18"/>
          <w:vertAlign w:val="subscript"/>
          <w:lang w:val="en-US" w:eastAsia="zh-CN"/>
        </w:rPr>
        <w:t>25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auto"/>
          <w:sz w:val="18"/>
          <w:szCs w:val="18"/>
          <w:lang w:val="en-US" w:eastAsia="zh-CN"/>
        </w:rPr>
        <w:t xml:space="preserve">, </w:t>
      </w:r>
      <w:r>
        <w:rPr>
          <w:rFonts w:hint="eastAsia" w:ascii="Times New Roman" w:hAnsi="Times New Roman" w:eastAsia="宋体" w:cs="Times New Roman"/>
          <w:b/>
          <w:bCs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auto"/>
          <w:sz w:val="18"/>
          <w:szCs w:val="18"/>
          <w:vertAlign w:val="subscript"/>
          <w:lang w:val="en-US" w:eastAsia="zh-CN"/>
        </w:rPr>
        <w:t>75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auto"/>
          <w:sz w:val="18"/>
          <w:szCs w:val="18"/>
          <w:lang w:val="en-US" w:eastAsia="zh-CN"/>
        </w:rPr>
        <w:t xml:space="preserve">）, </w:t>
      </w:r>
      <w:r>
        <w:rPr>
          <w:rFonts w:hint="default" w:ascii="Times New Roman" w:hAnsi="Times New Roman" w:eastAsia="宋体" w:cs="Times New Roman"/>
          <w:b/>
          <w:bCs/>
          <w:i/>
          <w:iCs/>
          <w:color w:val="auto"/>
          <w:sz w:val="18"/>
          <w:szCs w:val="18"/>
          <w:lang w:val="en-US" w:eastAsia="zh-CN"/>
        </w:rPr>
        <w:t>n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18"/>
          <w:szCs w:val="18"/>
          <w:lang w:val="en-US" w:eastAsia="zh-CN"/>
        </w:rPr>
        <w:t>=3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auto"/>
          <w:sz w:val="18"/>
          <w:szCs w:val="18"/>
          <w:lang w:val="en-US" w:eastAsia="zh-CN"/>
        </w:rPr>
        <w:t>0</w:t>
      </w:r>
      <w:r>
        <w:rPr>
          <w:rFonts w:hint="eastAsia" w:ascii="宋体" w:hAnsi="宋体" w:eastAsia="宋体" w:cs="宋体"/>
          <w:b/>
          <w:bCs/>
          <w:iCs/>
          <w:color w:val="auto"/>
          <w:sz w:val="18"/>
          <w:szCs w:val="18"/>
        </w:rPr>
        <w:t>）</w:t>
      </w:r>
      <w:r>
        <w:rPr>
          <w:rFonts w:hint="eastAsia" w:ascii="宋体" w:hAnsi="宋体" w:eastAsia="宋体" w:cs="宋体"/>
          <w:b/>
          <w:bCs/>
          <w:iCs/>
          <w:color w:val="auto"/>
          <w:sz w:val="18"/>
          <w:szCs w:val="18"/>
          <w:lang w:val="en-US" w:eastAsia="zh-CN"/>
        </w:rPr>
        <w:t>]</w:t>
      </w:r>
      <w:r>
        <w:rPr>
          <w:rFonts w:hint="eastAsia" w:ascii="宋体" w:hAnsi="宋体" w:eastAsia="宋体" w:cs="宋体"/>
          <w:b/>
          <w:bCs/>
          <w:sz w:val="18"/>
          <w:szCs w:val="18"/>
          <w:shd w:val="clear" w:fill="auto"/>
          <w:lang w:val="en-US" w:eastAsia="zh-CN"/>
        </w:rPr>
        <w:t xml:space="preserve"> </w:t>
      </w:r>
    </w:p>
    <w:tbl>
      <w:tblPr>
        <w:tblStyle w:val="10"/>
        <w:tblW w:w="9883" w:type="dxa"/>
        <w:jc w:val="center"/>
        <w:tblBorders>
          <w:top w:val="single" w:color="000000" w:sz="4" w:space="0"/>
          <w:left w:val="none" w:color="auto" w:sz="0" w:space="0"/>
          <w:bottom w:val="single" w:color="000000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9"/>
        <w:gridCol w:w="1784"/>
        <w:gridCol w:w="1808"/>
        <w:gridCol w:w="1048"/>
        <w:gridCol w:w="1272"/>
        <w:gridCol w:w="2112"/>
      </w:tblGrid>
      <w:tr w14:paraId="3FB15E6B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859" w:type="dxa"/>
            <w:tcBorders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6EFD0A8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</w:rPr>
            </w:pPr>
            <w:bookmarkStart w:id="1" w:name="OLE_LINK30"/>
            <w:bookmarkStart w:id="2" w:name="OLE_LINK21" w:colFirst="0" w:colLast="4"/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</w:rPr>
              <w:t>维度</w:t>
            </w:r>
            <w:bookmarkEnd w:id="1"/>
          </w:p>
        </w:tc>
        <w:tc>
          <w:tcPr>
            <w:tcW w:w="1784" w:type="dxa"/>
            <w:tcBorders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3416495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</w:rPr>
            </w:pPr>
            <w:bookmarkStart w:id="3" w:name="OLE_LINK15"/>
            <w:bookmarkStart w:id="4" w:name="OLE_LINK32"/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</w:rPr>
              <w:t>ChatGPT-4o</w:t>
            </w:r>
            <w:bookmarkEnd w:id="3"/>
            <w:bookmarkEnd w:id="4"/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</w:rPr>
              <w:t>组</w:t>
            </w:r>
          </w:p>
        </w:tc>
        <w:tc>
          <w:tcPr>
            <w:tcW w:w="1808" w:type="dxa"/>
            <w:tcBorders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77FC78B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</w:rPr>
            </w:pPr>
            <w:bookmarkStart w:id="5" w:name="OLE_LINK33"/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</w:rPr>
              <w:t>DeepSeek组</w:t>
            </w:r>
            <w:bookmarkEnd w:id="5"/>
          </w:p>
        </w:tc>
        <w:tc>
          <w:tcPr>
            <w:tcW w:w="1048" w:type="dxa"/>
            <w:tcBorders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40BECC8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</w:rPr>
            </w:pPr>
            <w:bookmarkStart w:id="6" w:name="OLE_LINK35"/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</w:rPr>
              <w:t>统计值</w:t>
            </w:r>
          </w:p>
        </w:tc>
        <w:tc>
          <w:tcPr>
            <w:tcW w:w="1272" w:type="dxa"/>
            <w:tcBorders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62E96D4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</w:rPr>
              <w:t>检验结果</w:t>
            </w:r>
            <w:bookmarkEnd w:id="6"/>
          </w:p>
        </w:tc>
        <w:tc>
          <w:tcPr>
            <w:tcW w:w="2112" w:type="dxa"/>
            <w:tcBorders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34D779E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</w:rPr>
              <w:t>效应量（Cohen's d）</w:t>
            </w:r>
          </w:p>
        </w:tc>
      </w:tr>
      <w:tr w14:paraId="3B2C28EE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859" w:type="dxa"/>
            <w:tcBorders>
              <w:top w:val="single" w:color="000000" w:sz="4" w:space="0"/>
              <w:left w:val="nil"/>
              <w:bottom w:val="single" w:color="E5E5E5" w:sz="8" w:space="0"/>
              <w:right w:val="nil"/>
            </w:tcBorders>
            <w:shd w:val="clear" w:color="auto" w:fill="FFFFFF"/>
            <w:vAlign w:val="center"/>
          </w:tcPr>
          <w:p w14:paraId="5F537CC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</w:rPr>
            </w:pPr>
            <w:bookmarkStart w:id="7" w:name="OLE_LINK14" w:colFirst="0" w:colLast="0"/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</w:rPr>
              <w:t>1. 情境生动性</w:t>
            </w:r>
          </w:p>
        </w:tc>
        <w:tc>
          <w:tcPr>
            <w:tcW w:w="1784" w:type="dxa"/>
            <w:tcBorders>
              <w:top w:val="single" w:color="000000" w:sz="4" w:space="0"/>
              <w:left w:val="nil"/>
              <w:bottom w:val="single" w:color="E5E5E5" w:sz="8" w:space="0"/>
              <w:right w:val="nil"/>
            </w:tcBorders>
            <w:shd w:val="clear" w:color="auto" w:fill="FFFFFF"/>
            <w:vAlign w:val="center"/>
          </w:tcPr>
          <w:p w14:paraId="14E4CF3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</w:rPr>
              <w:t>3.68±0.71</w:t>
            </w:r>
          </w:p>
        </w:tc>
        <w:tc>
          <w:tcPr>
            <w:tcW w:w="1808" w:type="dxa"/>
            <w:tcBorders>
              <w:top w:val="single" w:color="000000" w:sz="4" w:space="0"/>
              <w:left w:val="nil"/>
              <w:bottom w:val="single" w:color="E5E5E5" w:sz="8" w:space="0"/>
              <w:right w:val="nil"/>
            </w:tcBorders>
            <w:shd w:val="clear" w:color="auto" w:fill="FFFFFF"/>
            <w:vAlign w:val="center"/>
          </w:tcPr>
          <w:p w14:paraId="5EAA526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</w:rPr>
              <w:t>4.12±0.64</w:t>
            </w:r>
          </w:p>
        </w:tc>
        <w:tc>
          <w:tcPr>
            <w:tcW w:w="1048" w:type="dxa"/>
            <w:tcBorders>
              <w:top w:val="single" w:color="000000" w:sz="4" w:space="0"/>
              <w:left w:val="nil"/>
              <w:bottom w:val="single" w:color="E5E5E5" w:sz="8" w:space="0"/>
              <w:right w:val="nil"/>
            </w:tcBorders>
            <w:shd w:val="clear" w:color="auto" w:fill="FFFFFF"/>
            <w:vAlign w:val="center"/>
          </w:tcPr>
          <w:p w14:paraId="02EA0FD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</w:rPr>
              <w:t xml:space="preserve">t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</w:rPr>
              <w:t>= 2.98</w:t>
            </w:r>
          </w:p>
        </w:tc>
        <w:tc>
          <w:tcPr>
            <w:tcW w:w="1272" w:type="dxa"/>
            <w:tcBorders>
              <w:top w:val="single" w:color="000000" w:sz="4" w:space="0"/>
              <w:left w:val="nil"/>
              <w:bottom w:val="single" w:color="E5E5E5" w:sz="8" w:space="0"/>
              <w:right w:val="nil"/>
            </w:tcBorders>
            <w:shd w:val="clear" w:color="auto" w:fill="FFFFFF"/>
            <w:vAlign w:val="center"/>
          </w:tcPr>
          <w:p w14:paraId="737256F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</w:rPr>
              <w:t xml:space="preserve">P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</w:rPr>
              <w:t>= 0.004</w:t>
            </w:r>
          </w:p>
        </w:tc>
        <w:tc>
          <w:tcPr>
            <w:tcW w:w="2112" w:type="dxa"/>
            <w:tcBorders>
              <w:top w:val="single" w:color="000000" w:sz="4" w:space="0"/>
              <w:left w:val="nil"/>
              <w:bottom w:val="single" w:color="E5E5E5" w:sz="8" w:space="0"/>
              <w:right w:val="nil"/>
            </w:tcBorders>
            <w:shd w:val="clear" w:color="auto" w:fill="FFFFFF"/>
            <w:vAlign w:val="center"/>
          </w:tcPr>
          <w:p w14:paraId="3D04E46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</w:rPr>
              <w:t>0.65</w:t>
            </w:r>
          </w:p>
        </w:tc>
      </w:tr>
      <w:bookmarkEnd w:id="2"/>
      <w:tr w14:paraId="3CF78B5A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859" w:type="dxa"/>
            <w:tcBorders>
              <w:top w:val="nil"/>
              <w:left w:val="nil"/>
              <w:bottom w:val="single" w:color="E5E5E5" w:sz="8" w:space="0"/>
              <w:right w:val="nil"/>
            </w:tcBorders>
            <w:shd w:val="clear" w:color="auto" w:fill="FFFFFF"/>
            <w:vAlign w:val="center"/>
          </w:tcPr>
          <w:p w14:paraId="02D014A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</w:rPr>
              <w:t>2. 信息准确性</w:t>
            </w:r>
          </w:p>
        </w:tc>
        <w:tc>
          <w:tcPr>
            <w:tcW w:w="1784" w:type="dxa"/>
            <w:tcBorders>
              <w:top w:val="nil"/>
              <w:left w:val="nil"/>
              <w:bottom w:val="single" w:color="E5E5E5" w:sz="8" w:space="0"/>
              <w:right w:val="nil"/>
            </w:tcBorders>
            <w:shd w:val="clear" w:color="auto" w:fill="FFFFFF"/>
            <w:vAlign w:val="center"/>
          </w:tcPr>
          <w:p w14:paraId="2B778BA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</w:rPr>
              <w:t>3.82±0.63</w:t>
            </w:r>
          </w:p>
        </w:tc>
        <w:tc>
          <w:tcPr>
            <w:tcW w:w="1808" w:type="dxa"/>
            <w:tcBorders>
              <w:top w:val="nil"/>
              <w:left w:val="nil"/>
              <w:bottom w:val="single" w:color="E5E5E5" w:sz="8" w:space="0"/>
              <w:right w:val="nil"/>
            </w:tcBorders>
            <w:shd w:val="clear" w:color="auto" w:fill="FFFFFF"/>
            <w:vAlign w:val="center"/>
          </w:tcPr>
          <w:p w14:paraId="67270EE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</w:rPr>
              <w:t>3.45±0.72</w:t>
            </w:r>
          </w:p>
        </w:tc>
        <w:tc>
          <w:tcPr>
            <w:tcW w:w="1048" w:type="dxa"/>
            <w:tcBorders>
              <w:top w:val="nil"/>
              <w:left w:val="nil"/>
              <w:bottom w:val="single" w:color="E5E5E5" w:sz="8" w:space="0"/>
              <w:right w:val="nil"/>
            </w:tcBorders>
            <w:shd w:val="clear" w:color="auto" w:fill="FFFFFF"/>
            <w:vAlign w:val="center"/>
          </w:tcPr>
          <w:p w14:paraId="4AFB6EB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</w:rPr>
              <w:t xml:space="preserve">t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</w:rPr>
              <w:t>=2.31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E5E5E5" w:sz="8" w:space="0"/>
              <w:right w:val="nil"/>
            </w:tcBorders>
            <w:shd w:val="clear" w:color="auto" w:fill="FFFFFF"/>
            <w:vAlign w:val="center"/>
          </w:tcPr>
          <w:p w14:paraId="09F8AF5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</w:rPr>
              <w:t xml:space="preserve">P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</w:rPr>
              <w:t>= 0.024</w:t>
            </w:r>
          </w:p>
        </w:tc>
        <w:tc>
          <w:tcPr>
            <w:tcW w:w="2112" w:type="dxa"/>
            <w:tcBorders>
              <w:top w:val="nil"/>
              <w:left w:val="nil"/>
              <w:bottom w:val="single" w:color="E5E5E5" w:sz="8" w:space="0"/>
              <w:right w:val="nil"/>
            </w:tcBorders>
            <w:shd w:val="clear" w:color="auto" w:fill="FFFFFF"/>
            <w:vAlign w:val="center"/>
          </w:tcPr>
          <w:p w14:paraId="3112597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</w:rPr>
              <w:t>0</w:t>
            </w:r>
            <w:bookmarkStart w:id="8" w:name="_GoBack"/>
            <w:bookmarkEnd w:id="8"/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</w:rPr>
              <w:t>.54</w:t>
            </w:r>
          </w:p>
        </w:tc>
      </w:tr>
      <w:tr w14:paraId="3BDB47A8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859" w:type="dxa"/>
            <w:tcBorders>
              <w:top w:val="nil"/>
              <w:left w:val="nil"/>
              <w:bottom w:val="single" w:color="E5E5E5" w:sz="8" w:space="0"/>
              <w:right w:val="nil"/>
            </w:tcBorders>
            <w:shd w:val="clear" w:color="auto" w:fill="FFFFFF"/>
            <w:vAlign w:val="center"/>
          </w:tcPr>
          <w:p w14:paraId="1441394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</w:rPr>
              <w:t>3. 教学友好性</w:t>
            </w:r>
          </w:p>
        </w:tc>
        <w:tc>
          <w:tcPr>
            <w:tcW w:w="1784" w:type="dxa"/>
            <w:tcBorders>
              <w:top w:val="nil"/>
              <w:left w:val="nil"/>
              <w:bottom w:val="single" w:color="E5E5E5" w:sz="8" w:space="0"/>
              <w:right w:val="nil"/>
            </w:tcBorders>
            <w:shd w:val="clear" w:color="auto" w:fill="FFFFFF"/>
            <w:vAlign w:val="center"/>
          </w:tcPr>
          <w:p w14:paraId="0FFBFAC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</w:rPr>
              <w:t>3.83 [3.50, 4.17]</w:t>
            </w:r>
          </w:p>
        </w:tc>
        <w:tc>
          <w:tcPr>
            <w:tcW w:w="1808" w:type="dxa"/>
            <w:tcBorders>
              <w:top w:val="nil"/>
              <w:left w:val="nil"/>
              <w:bottom w:val="single" w:color="E5E5E5" w:sz="8" w:space="0"/>
              <w:right w:val="nil"/>
            </w:tcBorders>
            <w:shd w:val="clear" w:color="auto" w:fill="FFFFFF"/>
            <w:vAlign w:val="center"/>
          </w:tcPr>
          <w:p w14:paraId="1D99A8B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</w:rPr>
              <w:t>3.60 [3.20,3.90]</w:t>
            </w:r>
          </w:p>
        </w:tc>
        <w:tc>
          <w:tcPr>
            <w:tcW w:w="1048" w:type="dxa"/>
            <w:tcBorders>
              <w:top w:val="nil"/>
              <w:left w:val="nil"/>
              <w:bottom w:val="single" w:color="E5E5E5" w:sz="8" w:space="0"/>
              <w:right w:val="nil"/>
            </w:tcBorders>
            <w:shd w:val="clear" w:color="auto" w:fill="FFFFFF"/>
            <w:vAlign w:val="center"/>
          </w:tcPr>
          <w:p w14:paraId="59BE54C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</w:rPr>
              <w:t xml:space="preserve">U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</w:rPr>
              <w:t>= 325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E5E5E5" w:sz="8" w:space="0"/>
              <w:right w:val="nil"/>
            </w:tcBorders>
            <w:shd w:val="clear" w:color="auto" w:fill="FFFFFF"/>
            <w:vAlign w:val="center"/>
          </w:tcPr>
          <w:p w14:paraId="3DF3EF5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</w:rPr>
              <w:t xml:space="preserve">P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</w:rPr>
              <w:t>= 0.018</w:t>
            </w:r>
          </w:p>
        </w:tc>
        <w:tc>
          <w:tcPr>
            <w:tcW w:w="2112" w:type="dxa"/>
            <w:tcBorders>
              <w:top w:val="nil"/>
              <w:left w:val="nil"/>
              <w:bottom w:val="single" w:color="E5E5E5" w:sz="8" w:space="0"/>
              <w:right w:val="nil"/>
            </w:tcBorders>
            <w:shd w:val="clear" w:color="auto" w:fill="FFFFFF"/>
            <w:vAlign w:val="center"/>
          </w:tcPr>
          <w:p w14:paraId="77FDC7F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</w:rPr>
              <w:t>—</w:t>
            </w:r>
          </w:p>
        </w:tc>
      </w:tr>
      <w:tr w14:paraId="5E63BAFE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8EB1D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</w:rPr>
              <w:t xml:space="preserve">4.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 w:color="auto"/>
                <w:shd w:val="clear" w:fill="auto"/>
                <w:lang w:val="en-US" w:eastAsia="zh-CN" w:bidi="ar"/>
              </w:rPr>
              <w:t>灵活性和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</w:rPr>
              <w:t>适应性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11C6E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</w:rPr>
              <w:t>3.50±0.75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35D16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</w:rPr>
              <w:t>3.20±0.81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612AC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</w:rPr>
              <w:t xml:space="preserve">t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</w:rPr>
              <w:t>= 1.99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1D5DB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</w:rPr>
              <w:t xml:space="preserve">P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</w:rPr>
              <w:t>= 0.050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6652D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</w:rPr>
              <w:t>0.38</w:t>
            </w:r>
          </w:p>
        </w:tc>
      </w:tr>
      <w:tr w14:paraId="7A37238E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85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25A9885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</w:rPr>
              <w:t>5. 技术体验性</w:t>
            </w:r>
          </w:p>
        </w:tc>
        <w:tc>
          <w:tcPr>
            <w:tcW w:w="178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2029439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</w:rPr>
              <w:t>3.75±0.68</w:t>
            </w:r>
          </w:p>
        </w:tc>
        <w:tc>
          <w:tcPr>
            <w:tcW w:w="180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51FFD86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</w:rPr>
              <w:t>3.35±0.73</w:t>
            </w:r>
          </w:p>
        </w:tc>
        <w:tc>
          <w:tcPr>
            <w:tcW w:w="104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413B961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</w:rPr>
              <w:t xml:space="preserve">t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</w:rPr>
              <w:t>= 2.45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534B0AE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</w:rPr>
              <w:t xml:space="preserve">P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</w:rPr>
              <w:t>= 0.017</w:t>
            </w:r>
          </w:p>
        </w:tc>
        <w:tc>
          <w:tcPr>
            <w:tcW w:w="211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26B3627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</w:rPr>
              <w:t>0.57</w:t>
            </w:r>
          </w:p>
        </w:tc>
      </w:tr>
      <w:bookmarkEnd w:id="0"/>
      <w:bookmarkEnd w:id="7"/>
    </w:tbl>
    <w:p w14:paraId="61DEAB3A">
      <w:pPr>
        <w:jc w:val="center"/>
        <w:rPr>
          <w:rFonts w:hint="eastAsia" w:ascii="宋体" w:hAnsi="宋体" w:eastAsia="宋体" w:cs="宋体"/>
          <w:color w:val="FF0000"/>
          <w:sz w:val="18"/>
          <w:szCs w:val="18"/>
          <w:shd w:val="clear" w:fill="auto"/>
          <w:lang w:val="en-US" w:eastAsia="zh-CN"/>
        </w:rPr>
      </w:pPr>
    </w:p>
    <w:sectPr>
      <w:endnotePr>
        <w:numFmt w:val="decimal"/>
      </w:endnote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numFmt w:val="decimal"/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hjNzU3ZWFkYzRlYTQ3MTc2MGE0NTg0MTUwODQ4ZjYifQ=="/>
  </w:docVars>
  <w:rsids>
    <w:rsidRoot w:val="7D3540AF"/>
    <w:rsid w:val="012A2B64"/>
    <w:rsid w:val="01875DDB"/>
    <w:rsid w:val="01EF3DCB"/>
    <w:rsid w:val="04F6768F"/>
    <w:rsid w:val="06383B48"/>
    <w:rsid w:val="07320597"/>
    <w:rsid w:val="08FC70AE"/>
    <w:rsid w:val="0ADD230E"/>
    <w:rsid w:val="0C8A14B2"/>
    <w:rsid w:val="0CA37841"/>
    <w:rsid w:val="0DED16BC"/>
    <w:rsid w:val="0ECC7523"/>
    <w:rsid w:val="0FDA17CC"/>
    <w:rsid w:val="12704669"/>
    <w:rsid w:val="12945F88"/>
    <w:rsid w:val="12C0114D"/>
    <w:rsid w:val="13881265"/>
    <w:rsid w:val="13B011C1"/>
    <w:rsid w:val="13FC4407"/>
    <w:rsid w:val="14B92864"/>
    <w:rsid w:val="15C53D55"/>
    <w:rsid w:val="16B234CA"/>
    <w:rsid w:val="178F5D38"/>
    <w:rsid w:val="17F43647"/>
    <w:rsid w:val="18155A97"/>
    <w:rsid w:val="18A65F69"/>
    <w:rsid w:val="19823F16"/>
    <w:rsid w:val="199649B5"/>
    <w:rsid w:val="1A472154"/>
    <w:rsid w:val="1D9D1B92"/>
    <w:rsid w:val="1DD91315"/>
    <w:rsid w:val="1DDF119A"/>
    <w:rsid w:val="20C462AC"/>
    <w:rsid w:val="232F19D7"/>
    <w:rsid w:val="245666C9"/>
    <w:rsid w:val="247D50F0"/>
    <w:rsid w:val="26481ABA"/>
    <w:rsid w:val="265739CF"/>
    <w:rsid w:val="27440E7B"/>
    <w:rsid w:val="2D114D3E"/>
    <w:rsid w:val="2FAF758A"/>
    <w:rsid w:val="3115027E"/>
    <w:rsid w:val="319A6E3F"/>
    <w:rsid w:val="31BA1E3C"/>
    <w:rsid w:val="3204686A"/>
    <w:rsid w:val="32CD6EE6"/>
    <w:rsid w:val="37A5390F"/>
    <w:rsid w:val="3AA843E5"/>
    <w:rsid w:val="3B293484"/>
    <w:rsid w:val="3BE9676F"/>
    <w:rsid w:val="3C0D0437"/>
    <w:rsid w:val="3E8A3B40"/>
    <w:rsid w:val="3F984734"/>
    <w:rsid w:val="3FD80FD4"/>
    <w:rsid w:val="40330901"/>
    <w:rsid w:val="44BA6EFA"/>
    <w:rsid w:val="461E1A0C"/>
    <w:rsid w:val="46C222A2"/>
    <w:rsid w:val="4A0550BC"/>
    <w:rsid w:val="4A91694F"/>
    <w:rsid w:val="4C2C3771"/>
    <w:rsid w:val="4CE37BC1"/>
    <w:rsid w:val="4D300FF1"/>
    <w:rsid w:val="4D5C53F9"/>
    <w:rsid w:val="4DA6390E"/>
    <w:rsid w:val="4DAB5F7A"/>
    <w:rsid w:val="4E9455F5"/>
    <w:rsid w:val="4ED41501"/>
    <w:rsid w:val="4F593BBA"/>
    <w:rsid w:val="51823496"/>
    <w:rsid w:val="52353744"/>
    <w:rsid w:val="53D855EF"/>
    <w:rsid w:val="547A66A6"/>
    <w:rsid w:val="54882B71"/>
    <w:rsid w:val="5ABB5323"/>
    <w:rsid w:val="5B391D37"/>
    <w:rsid w:val="5C01451E"/>
    <w:rsid w:val="5D9C26F1"/>
    <w:rsid w:val="5DC32A3D"/>
    <w:rsid w:val="5E282CCF"/>
    <w:rsid w:val="610C0686"/>
    <w:rsid w:val="616B1851"/>
    <w:rsid w:val="63414F5F"/>
    <w:rsid w:val="656C64A8"/>
    <w:rsid w:val="66630D09"/>
    <w:rsid w:val="68B41D2F"/>
    <w:rsid w:val="692254E6"/>
    <w:rsid w:val="6974345D"/>
    <w:rsid w:val="6A0951DB"/>
    <w:rsid w:val="6CA91705"/>
    <w:rsid w:val="6CF57E4E"/>
    <w:rsid w:val="707B75D6"/>
    <w:rsid w:val="79632821"/>
    <w:rsid w:val="7A0E5017"/>
    <w:rsid w:val="7C151E9A"/>
    <w:rsid w:val="7CAF4890"/>
    <w:rsid w:val="7CE10140"/>
    <w:rsid w:val="7CE51DC8"/>
    <w:rsid w:val="7D0A7D18"/>
    <w:rsid w:val="7D3540AF"/>
    <w:rsid w:val="7F5B2AAD"/>
    <w:rsid w:val="7FC74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  <w:style w:type="paragraph" w:styleId="7">
    <w:name w:val="annotation text"/>
    <w:basedOn w:val="1"/>
    <w:semiHidden/>
    <w:unhideWhenUsed/>
    <w:qFormat/>
    <w:uiPriority w:val="99"/>
    <w:pPr>
      <w:jc w:val="left"/>
    </w:pPr>
  </w:style>
  <w:style w:type="paragraph" w:styleId="8">
    <w:name w:val="endnote text"/>
    <w:basedOn w:val="1"/>
    <w:qFormat/>
    <w:uiPriority w:val="0"/>
    <w:pPr>
      <w:snapToGrid w:val="0"/>
      <w:jc w:val="left"/>
    </w:p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1">
    <w:name w:val="Table Grid"/>
    <w:basedOn w:val="10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endnote reference"/>
    <w:basedOn w:val="12"/>
    <w:qFormat/>
    <w:uiPriority w:val="0"/>
    <w:rPr>
      <w:vertAlign w:val="superscript"/>
    </w:rPr>
  </w:style>
  <w:style w:type="character" w:styleId="15">
    <w:name w:val="Emphasis"/>
    <w:basedOn w:val="12"/>
    <w:qFormat/>
    <w:uiPriority w:val="0"/>
    <w:rPr>
      <w:i/>
    </w:rPr>
  </w:style>
  <w:style w:type="character" w:styleId="16">
    <w:name w:val="Hyperlink"/>
    <w:basedOn w:val="12"/>
    <w:qFormat/>
    <w:uiPriority w:val="0"/>
    <w:rPr>
      <w:color w:val="0000FF"/>
      <w:u w:val="single"/>
    </w:rPr>
  </w:style>
  <w:style w:type="character" w:customStyle="1" w:styleId="17">
    <w:name w:val="font11"/>
    <w:basedOn w:val="12"/>
    <w:qFormat/>
    <w:uiPriority w:val="0"/>
    <w:rPr>
      <w:rFonts w:hint="default" w:ascii="Segoe UI" w:hAnsi="Segoe UI" w:eastAsia="Segoe UI" w:cs="Segoe UI"/>
      <w:b/>
      <w:bCs/>
      <w:color w:val="404040"/>
      <w:sz w:val="22"/>
      <w:szCs w:val="22"/>
      <w:u w:val="none"/>
    </w:rPr>
  </w:style>
  <w:style w:type="character" w:customStyle="1" w:styleId="18">
    <w:name w:val="font21"/>
    <w:basedOn w:val="12"/>
    <w:qFormat/>
    <w:uiPriority w:val="0"/>
    <w:rPr>
      <w:rFonts w:hint="default" w:ascii="Segoe UI" w:hAnsi="Segoe UI" w:eastAsia="Segoe UI" w:cs="Segoe UI"/>
      <w:color w:val="404040"/>
      <w:sz w:val="22"/>
      <w:szCs w:val="22"/>
      <w:u w:val="none"/>
    </w:rPr>
  </w:style>
  <w:style w:type="table" w:customStyle="1" w:styleId="19">
    <w:name w:val="无格式表格 31"/>
    <w:basedOn w:val="10"/>
    <w:qFormat/>
    <w:uiPriority w:val="0"/>
    <w:rPr>
      <w:rFonts w:ascii="Calibri" w:hAnsi="Calibri" w:eastAsia="宋体" w:cs="Times New Roman"/>
    </w:rPr>
    <w:tblStylePr w:type="firstRow">
      <w:rPr>
        <w:b/>
        <w:bCs/>
        <w:caps/>
      </w:rPr>
      <w:tcPr>
        <w:tcBorders>
          <w:bottom w:val="single" w:color="7F7F7F" w:sz="4" w:space="0"/>
        </w:tcBorders>
      </w:tcPr>
    </w:tblStylePr>
    <w:tblStylePr w:type="lastRow">
      <w:rPr>
        <w:b/>
        <w:bCs/>
        <w:caps/>
      </w:rPr>
      <w:tcPr>
        <w:tcBorders>
          <w:top w:val="nil"/>
        </w:tcBorders>
      </w:tcPr>
    </w:tblStylePr>
    <w:tblStylePr w:type="firstCol">
      <w:rPr>
        <w:b/>
        <w:bCs/>
        <w:caps/>
      </w:rPr>
      <w:tcPr>
        <w:tcBorders>
          <w:right w:val="single" w:color="7F7F7F" w:sz="4" w:space="0"/>
        </w:tcBorders>
      </w:tcPr>
    </w:tblStylePr>
    <w:tblStylePr w:type="lastCol">
      <w:rPr>
        <w:b/>
        <w:bCs/>
        <w:caps/>
      </w:rPr>
      <w:tcPr>
        <w:tcBorders>
          <w:left w:val="nil"/>
        </w:tcBorders>
      </w:tcPr>
    </w:tblStylePr>
    <w:tblStylePr w:type="band1Vert">
      <w:tcPr>
        <w:shd w:val="clear" w:color="auto" w:fill="F2F2F2"/>
      </w:tcPr>
    </w:tblStylePr>
    <w:tblStylePr w:type="band1Horz">
      <w:tcPr>
        <w:shd w:val="clear" w:color="auto" w:fill="F2F2F2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984</Words>
  <Characters>1715</Characters>
  <Lines>0</Lines>
  <Paragraphs>0</Paragraphs>
  <TotalTime>18</TotalTime>
  <ScaleCrop>false</ScaleCrop>
  <LinksUpToDate>false</LinksUpToDate>
  <CharactersWithSpaces>1804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2025-04-25T01:39:00Z</dcterms:created>
  <dc:creator>李婕</dc:creator>
  <cp:lastModifiedBy>windy</cp:lastModifiedBy>
  <cp:lastPrinted>2025-07-04T01:39:00Z</cp:lastPrinted>
  <dcterms:modified xsi:type="dcterms:W3CDTF">2025-12-01T09:48:06Z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295BB9B44A2341C6956D00DA3F92C70E_13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