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B9A072">
      <w:pPr>
        <w:jc w:val="center"/>
        <w:rPr>
          <w:rFonts w:ascii="Times New Roman" w:hAnsi="Times New Roman" w:eastAsia="仿宋" w:cs="Times New Roman"/>
          <w:b/>
          <w:bCs/>
          <w:sz w:val="24"/>
          <w:u w:val="none"/>
          <w:shd w:val="clear" w:color="auto" w:fill="auto"/>
        </w:rPr>
      </w:pPr>
      <w:r>
        <w:rPr>
          <w:rFonts w:ascii="Times New Roman" w:hAnsi="Times New Roman" w:eastAsia="仿宋" w:cs="Times New Roman"/>
          <w:b/>
          <w:bCs/>
          <w:sz w:val="24"/>
          <w:u w:val="none"/>
          <w:shd w:val="clear" w:color="auto" w:fill="auto"/>
        </w:rPr>
        <w:t>表</w:t>
      </w:r>
      <w:r>
        <w:rPr>
          <w:rFonts w:hint="eastAsia" w:ascii="Times New Roman" w:hAnsi="Times New Roman" w:eastAsia="仿宋" w:cs="Times New Roman"/>
          <w:b/>
          <w:bCs/>
          <w:sz w:val="24"/>
          <w:u w:val="none"/>
          <w:shd w:val="clear" w:color="auto" w:fill="auto"/>
          <w:lang w:val="en-US" w:eastAsia="zh-CN"/>
        </w:rPr>
        <w:t>4</w:t>
      </w:r>
      <w:r>
        <w:rPr>
          <w:rFonts w:ascii="Times New Roman" w:hAnsi="Times New Roman" w:eastAsia="仿宋" w:cs="Times New Roman"/>
          <w:b/>
          <w:bCs/>
          <w:sz w:val="24"/>
          <w:u w:val="none"/>
          <w:shd w:val="clear" w:color="auto" w:fill="auto"/>
        </w:rPr>
        <w:t xml:space="preserve"> 不同LCT型别患者术后HPV持续情况</w:t>
      </w:r>
    </w:p>
    <w:tbl>
      <w:tblPr>
        <w:tblStyle w:val="3"/>
        <w:tblpPr w:leftFromText="180" w:rightFromText="180" w:vertAnchor="text" w:horzAnchor="page" w:tblpXSpec="center" w:tblpY="322"/>
        <w:tblOverlap w:val="never"/>
        <w:tblW w:w="10948" w:type="dxa"/>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302"/>
        <w:gridCol w:w="1252"/>
        <w:gridCol w:w="964"/>
        <w:gridCol w:w="1369"/>
        <w:gridCol w:w="1838"/>
        <w:gridCol w:w="997"/>
        <w:gridCol w:w="1301"/>
        <w:gridCol w:w="1925"/>
      </w:tblGrid>
      <w:tr w14:paraId="6204EF6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554" w:type="dxa"/>
            <w:gridSpan w:val="2"/>
            <w:noWrap w:val="0"/>
            <w:vAlign w:val="center"/>
          </w:tcPr>
          <w:p w14:paraId="4E3B74C8">
            <w:pPr>
              <w:keepNext w:val="0"/>
              <w:keepLines w:val="0"/>
              <w:suppressLineNumbers w:val="0"/>
              <w:spacing w:before="0" w:beforeAutospacing="0" w:after="0" w:afterAutospacing="0"/>
              <w:ind w:left="0" w:right="0"/>
              <w:jc w:val="center"/>
              <w:rPr>
                <w:rFonts w:hint="default" w:ascii="Times New Roman" w:hAnsi="Times New Roman" w:eastAsia="仿宋" w:cs="Times New Roman"/>
                <w:b w:val="0"/>
                <w:bCs w:val="0"/>
                <w:sz w:val="24"/>
                <w:u w:val="none"/>
                <w:shd w:val="clear" w:color="auto" w:fill="auto"/>
              </w:rPr>
            </w:pPr>
            <w:r>
              <w:rPr>
                <w:rFonts w:hint="default" w:ascii="Times New Roman" w:hAnsi="Times New Roman" w:eastAsia="仿宋" w:cs="Times New Roman"/>
                <w:b w:val="0"/>
                <w:bCs w:val="0"/>
                <w:sz w:val="24"/>
                <w:u w:val="none"/>
                <w:shd w:val="clear" w:color="auto" w:fill="auto"/>
              </w:rPr>
              <w:t>术前</w:t>
            </w:r>
          </w:p>
        </w:tc>
        <w:tc>
          <w:tcPr>
            <w:tcW w:w="4171" w:type="dxa"/>
            <w:gridSpan w:val="3"/>
            <w:tcBorders>
              <w:top w:val="single" w:color="auto" w:sz="4" w:space="0"/>
              <w:bottom w:val="single" w:color="auto" w:sz="4" w:space="0"/>
            </w:tcBorders>
            <w:noWrap w:val="0"/>
            <w:vAlign w:val="center"/>
          </w:tcPr>
          <w:p w14:paraId="5BC9648D">
            <w:pPr>
              <w:keepNext w:val="0"/>
              <w:keepLines w:val="0"/>
              <w:suppressLineNumbers w:val="0"/>
              <w:spacing w:before="0" w:beforeAutospacing="0" w:after="0" w:afterAutospacing="0"/>
              <w:ind w:left="0" w:right="0"/>
              <w:jc w:val="center"/>
              <w:rPr>
                <w:rFonts w:hint="eastAsia" w:ascii="Times New Roman" w:hAnsi="Times New Roman" w:eastAsia="仿宋" w:cs="Times New Roman"/>
                <w:b w:val="0"/>
                <w:bCs w:val="0"/>
                <w:sz w:val="24"/>
                <w:u w:val="none"/>
                <w:shd w:val="clear" w:color="auto" w:fill="auto"/>
                <w:lang w:eastAsia="zh-CN"/>
              </w:rPr>
            </w:pPr>
            <w:r>
              <w:rPr>
                <w:rFonts w:hint="default" w:ascii="Times New Roman" w:hAnsi="Times New Roman" w:eastAsia="仿宋" w:cs="Times New Roman"/>
                <w:b w:val="0"/>
                <w:bCs w:val="0"/>
                <w:sz w:val="24"/>
                <w:u w:val="none"/>
                <w:shd w:val="clear" w:color="auto" w:fill="auto"/>
              </w:rPr>
              <w:t>随访</w:t>
            </w:r>
            <w:r>
              <w:rPr>
                <w:rFonts w:hint="eastAsia" w:ascii="Times New Roman" w:hAnsi="Times New Roman" w:eastAsia="仿宋" w:cs="Times New Roman"/>
                <w:b w:val="0"/>
                <w:bCs w:val="0"/>
                <w:sz w:val="24"/>
                <w:u w:val="none"/>
                <w:shd w:val="clear" w:color="auto" w:fill="auto"/>
                <w:lang w:val="en-US" w:eastAsia="zh-CN"/>
              </w:rPr>
              <w:t>6个月</w:t>
            </w:r>
            <w:r>
              <w:rPr>
                <w:rFonts w:hint="eastAsia" w:ascii="Times New Roman" w:hAnsi="Times New Roman" w:eastAsia="仿宋" w:cs="Times New Roman"/>
                <w:b w:val="0"/>
                <w:bCs w:val="0"/>
                <w:sz w:val="24"/>
                <w:u w:val="none"/>
                <w:shd w:val="clear" w:color="auto" w:fill="auto"/>
                <w:lang w:eastAsia="zh-CN"/>
              </w:rPr>
              <w:t>（</w:t>
            </w:r>
            <w:r>
              <w:rPr>
                <w:rFonts w:hint="default" w:ascii="Times New Roman" w:hAnsi="Times New Roman" w:eastAsia="仿宋" w:cs="Times New Roman"/>
                <w:b w:val="0"/>
                <w:bCs w:val="0"/>
                <w:i/>
                <w:iCs/>
                <w:sz w:val="24"/>
                <w:u w:val="none"/>
                <w:shd w:val="clear" w:color="auto" w:fill="auto"/>
              </w:rPr>
              <w:t>n</w:t>
            </w:r>
            <w:r>
              <w:rPr>
                <w:rFonts w:hint="default" w:ascii="Times New Roman" w:hAnsi="Times New Roman" w:eastAsia="仿宋" w:cs="Times New Roman"/>
                <w:b w:val="0"/>
                <w:bCs w:val="0"/>
                <w:sz w:val="24"/>
                <w:u w:val="none"/>
                <w:shd w:val="clear" w:color="auto" w:fill="auto"/>
              </w:rPr>
              <w:t>=79</w:t>
            </w:r>
            <w:r>
              <w:rPr>
                <w:rFonts w:hint="eastAsia" w:ascii="Times New Roman" w:hAnsi="Times New Roman" w:eastAsia="仿宋" w:cs="Times New Roman"/>
                <w:b w:val="0"/>
                <w:bCs w:val="0"/>
                <w:sz w:val="24"/>
                <w:u w:val="none"/>
                <w:shd w:val="clear" w:color="auto" w:fill="auto"/>
                <w:lang w:eastAsia="zh-CN"/>
              </w:rPr>
              <w:t>）</w:t>
            </w:r>
          </w:p>
        </w:tc>
        <w:tc>
          <w:tcPr>
            <w:tcW w:w="4223" w:type="dxa"/>
            <w:gridSpan w:val="3"/>
            <w:tcBorders>
              <w:top w:val="single" w:color="auto" w:sz="4" w:space="0"/>
              <w:bottom w:val="single" w:color="auto" w:sz="4" w:space="0"/>
            </w:tcBorders>
            <w:noWrap w:val="0"/>
            <w:vAlign w:val="center"/>
          </w:tcPr>
          <w:p w14:paraId="351455A8">
            <w:pPr>
              <w:keepNext w:val="0"/>
              <w:keepLines w:val="0"/>
              <w:suppressLineNumbers w:val="0"/>
              <w:spacing w:before="0" w:beforeAutospacing="0" w:after="0" w:afterAutospacing="0"/>
              <w:ind w:left="0" w:right="0"/>
              <w:jc w:val="center"/>
              <w:rPr>
                <w:rFonts w:hint="default" w:ascii="Times New Roman" w:hAnsi="Times New Roman" w:eastAsia="仿宋" w:cs="Times New Roman"/>
                <w:b w:val="0"/>
                <w:bCs w:val="0"/>
                <w:sz w:val="24"/>
                <w:u w:val="none"/>
                <w:shd w:val="clear" w:color="auto" w:fill="auto"/>
              </w:rPr>
            </w:pPr>
            <w:r>
              <w:rPr>
                <w:rFonts w:hint="default" w:ascii="Times New Roman" w:hAnsi="Times New Roman" w:eastAsia="仿宋" w:cs="Times New Roman"/>
                <w:b w:val="0"/>
                <w:bCs w:val="0"/>
                <w:sz w:val="24"/>
                <w:u w:val="none"/>
                <w:shd w:val="clear" w:color="auto" w:fill="auto"/>
              </w:rPr>
              <w:t>随访</w:t>
            </w:r>
            <w:r>
              <w:rPr>
                <w:rFonts w:hint="eastAsia" w:ascii="Times New Roman" w:hAnsi="Times New Roman" w:eastAsia="仿宋" w:cs="Times New Roman"/>
                <w:b w:val="0"/>
                <w:bCs w:val="0"/>
                <w:sz w:val="24"/>
                <w:u w:val="none"/>
                <w:shd w:val="clear" w:color="auto" w:fill="auto"/>
                <w:lang w:val="en-US" w:eastAsia="zh-CN"/>
              </w:rPr>
              <w:t>12个月</w:t>
            </w:r>
            <w:r>
              <w:rPr>
                <w:rFonts w:hint="default" w:ascii="Times New Roman" w:hAnsi="Times New Roman" w:eastAsia="仿宋" w:cs="Times New Roman"/>
                <w:b w:val="0"/>
                <w:bCs w:val="0"/>
                <w:sz w:val="24"/>
                <w:u w:val="none"/>
                <w:shd w:val="clear" w:color="auto" w:fill="auto"/>
              </w:rPr>
              <w:t>（</w:t>
            </w:r>
            <w:r>
              <w:rPr>
                <w:rFonts w:hint="default" w:ascii="Times New Roman" w:hAnsi="Times New Roman" w:eastAsia="仿宋" w:cs="Times New Roman"/>
                <w:b w:val="0"/>
                <w:bCs w:val="0"/>
                <w:i/>
                <w:iCs/>
                <w:sz w:val="24"/>
                <w:u w:val="none"/>
                <w:shd w:val="clear" w:color="auto" w:fill="auto"/>
              </w:rPr>
              <w:t>n</w:t>
            </w:r>
            <w:r>
              <w:rPr>
                <w:rFonts w:hint="default" w:ascii="Times New Roman" w:hAnsi="Times New Roman" w:eastAsia="仿宋" w:cs="Times New Roman"/>
                <w:b w:val="0"/>
                <w:bCs w:val="0"/>
                <w:sz w:val="24"/>
                <w:u w:val="none"/>
                <w:shd w:val="clear" w:color="auto" w:fill="auto"/>
              </w:rPr>
              <w:t>=29）</w:t>
            </w:r>
          </w:p>
        </w:tc>
      </w:tr>
      <w:tr w14:paraId="34A68E6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302" w:type="dxa"/>
            <w:tcBorders>
              <w:bottom w:val="single" w:color="auto" w:sz="4" w:space="0"/>
            </w:tcBorders>
            <w:noWrap w:val="0"/>
            <w:vAlign w:val="center"/>
          </w:tcPr>
          <w:p w14:paraId="633D26E9">
            <w:pPr>
              <w:keepNext w:val="0"/>
              <w:keepLines w:val="0"/>
              <w:suppressLineNumbers w:val="0"/>
              <w:spacing w:before="0" w:beforeAutospacing="0" w:after="0" w:afterAutospacing="0"/>
              <w:ind w:left="0" w:right="0"/>
              <w:jc w:val="center"/>
              <w:rPr>
                <w:rFonts w:hint="default" w:ascii="Times New Roman" w:hAnsi="Times New Roman" w:eastAsia="仿宋" w:cs="Times New Roman"/>
                <w:b w:val="0"/>
                <w:bCs w:val="0"/>
                <w:sz w:val="24"/>
                <w:u w:val="none"/>
                <w:shd w:val="clear" w:color="auto" w:fill="auto"/>
              </w:rPr>
            </w:pPr>
            <w:r>
              <w:rPr>
                <w:rFonts w:hint="default" w:ascii="Times New Roman" w:hAnsi="Times New Roman" w:eastAsia="仿宋" w:cs="Times New Roman"/>
                <w:b w:val="0"/>
                <w:bCs w:val="0"/>
                <w:color w:val="000000"/>
                <w:kern w:val="0"/>
                <w:sz w:val="24"/>
                <w:u w:val="none"/>
                <w:shd w:val="clear" w:color="auto" w:fill="auto"/>
              </w:rPr>
              <w:t>LCT</w:t>
            </w:r>
          </w:p>
        </w:tc>
        <w:tc>
          <w:tcPr>
            <w:tcW w:w="1252" w:type="dxa"/>
            <w:tcBorders>
              <w:bottom w:val="single" w:color="auto" w:sz="4" w:space="0"/>
            </w:tcBorders>
            <w:noWrap w:val="0"/>
            <w:vAlign w:val="center"/>
          </w:tcPr>
          <w:p w14:paraId="503182E6">
            <w:pPr>
              <w:keepNext w:val="0"/>
              <w:keepLines w:val="0"/>
              <w:suppressLineNumbers w:val="0"/>
              <w:spacing w:before="0" w:beforeAutospacing="0" w:after="0" w:afterAutospacing="0"/>
              <w:ind w:left="0" w:right="0"/>
              <w:jc w:val="center"/>
              <w:rPr>
                <w:rFonts w:hint="default" w:ascii="Times New Roman" w:hAnsi="Times New Roman" w:eastAsia="仿宋" w:cs="Times New Roman"/>
                <w:b w:val="0"/>
                <w:bCs w:val="0"/>
                <w:sz w:val="24"/>
                <w:u w:val="none"/>
                <w:shd w:val="clear" w:color="auto" w:fill="auto"/>
                <w:lang w:val="en-US" w:eastAsia="zh-CN"/>
              </w:rPr>
            </w:pPr>
            <w:r>
              <w:rPr>
                <w:rFonts w:hint="default" w:ascii="Times New Roman" w:hAnsi="Times New Roman" w:eastAsia="仿宋" w:cs="Times New Roman"/>
                <w:b w:val="0"/>
                <w:bCs w:val="0"/>
                <w:color w:val="000000"/>
                <w:kern w:val="0"/>
                <w:sz w:val="24"/>
                <w:u w:val="none"/>
                <w:shd w:val="clear" w:color="auto" w:fill="auto"/>
              </w:rPr>
              <w:t>HPV</w:t>
            </w:r>
            <w:r>
              <w:rPr>
                <w:rFonts w:hint="default" w:ascii="Times New Roman" w:hAnsi="Times New Roman" w:eastAsia="仿宋" w:cs="Times New Roman"/>
                <w:b w:val="0"/>
                <w:bCs w:val="0"/>
                <w:color w:val="000000"/>
                <w:kern w:val="0"/>
                <w:sz w:val="24"/>
                <w:u w:val="none"/>
                <w:shd w:val="clear" w:color="auto" w:fill="auto"/>
                <w:lang w:val="en-US" w:eastAsia="zh-CN"/>
              </w:rPr>
              <w:t>阳性</w:t>
            </w:r>
          </w:p>
        </w:tc>
        <w:tc>
          <w:tcPr>
            <w:tcW w:w="964" w:type="dxa"/>
            <w:tcBorders>
              <w:top w:val="single" w:color="auto" w:sz="4" w:space="0"/>
              <w:bottom w:val="single" w:color="auto" w:sz="4" w:space="0"/>
            </w:tcBorders>
            <w:noWrap w:val="0"/>
            <w:vAlign w:val="center"/>
          </w:tcPr>
          <w:p w14:paraId="78E614B9">
            <w:pPr>
              <w:keepNext w:val="0"/>
              <w:keepLines w:val="0"/>
              <w:suppressLineNumbers w:val="0"/>
              <w:spacing w:before="0" w:beforeAutospacing="0" w:after="0" w:afterAutospacing="0"/>
              <w:ind w:left="0" w:right="0"/>
              <w:jc w:val="center"/>
              <w:rPr>
                <w:rFonts w:hint="default" w:ascii="Times New Roman" w:hAnsi="Times New Roman" w:eastAsia="仿宋" w:cs="Times New Roman"/>
                <w:b w:val="0"/>
                <w:bCs w:val="0"/>
                <w:sz w:val="24"/>
                <w:u w:val="none"/>
                <w:shd w:val="clear" w:color="auto" w:fill="auto"/>
              </w:rPr>
            </w:pPr>
            <w:r>
              <w:rPr>
                <w:rFonts w:hint="default" w:ascii="Times New Roman" w:hAnsi="Times New Roman" w:eastAsia="仿宋" w:cs="Times New Roman"/>
                <w:b w:val="0"/>
                <w:bCs w:val="0"/>
                <w:color w:val="000000"/>
                <w:kern w:val="0"/>
                <w:sz w:val="24"/>
                <w:u w:val="none"/>
                <w:shd w:val="clear" w:color="auto" w:fill="auto"/>
              </w:rPr>
              <w:t>总例数</w:t>
            </w:r>
          </w:p>
        </w:tc>
        <w:tc>
          <w:tcPr>
            <w:tcW w:w="1369" w:type="dxa"/>
            <w:tcBorders>
              <w:top w:val="single" w:color="auto" w:sz="4" w:space="0"/>
              <w:bottom w:val="single" w:color="auto" w:sz="4" w:space="0"/>
            </w:tcBorders>
            <w:noWrap w:val="0"/>
            <w:vAlign w:val="center"/>
          </w:tcPr>
          <w:p w14:paraId="504E0B5A">
            <w:pPr>
              <w:keepNext w:val="0"/>
              <w:keepLines w:val="0"/>
              <w:suppressLineNumbers w:val="0"/>
              <w:spacing w:before="0" w:beforeAutospacing="0" w:after="0" w:afterAutospacing="0"/>
              <w:ind w:left="0" w:right="0"/>
              <w:jc w:val="center"/>
              <w:rPr>
                <w:rFonts w:hint="eastAsia" w:ascii="Times New Roman" w:hAnsi="Times New Roman" w:eastAsia="仿宋" w:cs="Times New Roman"/>
                <w:b w:val="0"/>
                <w:bCs w:val="0"/>
                <w:sz w:val="24"/>
                <w:u w:val="none"/>
                <w:shd w:val="clear" w:color="auto" w:fill="auto"/>
                <w:lang w:val="en-US" w:eastAsia="zh-CN"/>
              </w:rPr>
            </w:pPr>
            <w:r>
              <w:rPr>
                <w:rFonts w:hint="default" w:ascii="Times New Roman" w:hAnsi="Times New Roman" w:eastAsia="仿宋" w:cs="Times New Roman"/>
                <w:b w:val="0"/>
                <w:bCs w:val="0"/>
                <w:color w:val="000000"/>
                <w:kern w:val="0"/>
                <w:sz w:val="24"/>
                <w:u w:val="none"/>
                <w:shd w:val="clear" w:color="auto" w:fill="auto"/>
              </w:rPr>
              <w:t>病变</w:t>
            </w:r>
            <w:r>
              <w:rPr>
                <w:rFonts w:hint="default" w:ascii="Times New Roman" w:hAnsi="Times New Roman" w:eastAsia="仿宋" w:cs="Times New Roman"/>
                <w:b w:val="0"/>
                <w:bCs w:val="0"/>
                <w:color w:val="000000"/>
                <w:kern w:val="0"/>
                <w:sz w:val="24"/>
                <w:u w:val="none" w:color="auto"/>
                <w:shd w:val="clear" w:color="auto" w:fill="auto"/>
              </w:rPr>
              <w:t>持续</w:t>
            </w:r>
            <w:r>
              <w:rPr>
                <w:rFonts w:hint="default" w:ascii="Times New Roman" w:hAnsi="Times New Roman" w:eastAsia="仿宋" w:cs="Times New Roman"/>
                <w:b w:val="0"/>
                <w:bCs w:val="0"/>
                <w:color w:val="000000"/>
                <w:kern w:val="0"/>
                <w:sz w:val="24"/>
                <w:u w:val="none"/>
                <w:shd w:val="clear" w:color="auto" w:fill="auto"/>
              </w:rPr>
              <w:t>/</w:t>
            </w:r>
            <w:r>
              <w:rPr>
                <w:rFonts w:hint="default" w:ascii="Times New Roman" w:hAnsi="Times New Roman" w:eastAsia="仿宋" w:cs="Times New Roman"/>
                <w:b w:val="0"/>
                <w:bCs w:val="0"/>
                <w:color w:val="000000"/>
                <w:kern w:val="0"/>
                <w:sz w:val="24"/>
                <w:u w:val="none"/>
                <w:shd w:val="clear" w:color="auto" w:fill="auto"/>
              </w:rPr>
              <w:br w:type="textWrapping"/>
            </w:r>
            <w:r>
              <w:rPr>
                <w:rFonts w:hint="default" w:ascii="Times New Roman" w:hAnsi="Times New Roman" w:eastAsia="仿宋" w:cs="Times New Roman"/>
                <w:b w:val="0"/>
                <w:bCs w:val="0"/>
                <w:color w:val="000000"/>
                <w:kern w:val="0"/>
                <w:sz w:val="24"/>
                <w:u w:val="none"/>
                <w:shd w:val="clear" w:color="auto" w:fill="auto"/>
              </w:rPr>
              <w:t>加重率/</w:t>
            </w:r>
            <w:r>
              <w:rPr>
                <w:rFonts w:hint="eastAsia" w:ascii="Times New Roman" w:hAnsi="Times New Roman" w:eastAsia="仿宋" w:cs="Times New Roman"/>
                <w:b w:val="0"/>
                <w:bCs w:val="0"/>
                <w:color w:val="000000"/>
                <w:kern w:val="0"/>
                <w:sz w:val="24"/>
                <w:u w:val="none"/>
                <w:shd w:val="clear" w:color="auto" w:fill="auto"/>
                <w:lang w:val="en-US" w:eastAsia="zh-CN"/>
              </w:rPr>
              <w:t>%</w:t>
            </w:r>
          </w:p>
        </w:tc>
        <w:tc>
          <w:tcPr>
            <w:tcW w:w="1838" w:type="dxa"/>
            <w:tcBorders>
              <w:top w:val="single" w:color="auto" w:sz="4" w:space="0"/>
              <w:bottom w:val="single" w:color="auto" w:sz="4" w:space="0"/>
            </w:tcBorders>
            <w:noWrap w:val="0"/>
            <w:vAlign w:val="center"/>
          </w:tcPr>
          <w:p w14:paraId="1F9A83A7">
            <w:pPr>
              <w:keepNext w:val="0"/>
              <w:keepLines w:val="0"/>
              <w:suppressLineNumbers w:val="0"/>
              <w:spacing w:before="0" w:beforeAutospacing="0" w:after="0" w:afterAutospacing="0"/>
              <w:ind w:left="0" w:right="0"/>
              <w:jc w:val="center"/>
              <w:rPr>
                <w:rFonts w:hint="eastAsia" w:ascii="Times New Roman" w:hAnsi="Times New Roman" w:eastAsia="仿宋" w:cs="Times New Roman"/>
                <w:b w:val="0"/>
                <w:bCs w:val="0"/>
                <w:sz w:val="24"/>
                <w:u w:val="none"/>
                <w:shd w:val="clear" w:color="auto" w:fill="auto"/>
                <w:lang w:val="en-US" w:eastAsia="zh-CN"/>
              </w:rPr>
            </w:pPr>
            <w:r>
              <w:rPr>
                <w:rFonts w:hint="default" w:ascii="Times New Roman" w:hAnsi="Times New Roman" w:eastAsia="仿宋" w:cs="Times New Roman"/>
                <w:b w:val="0"/>
                <w:bCs w:val="0"/>
                <w:color w:val="000000"/>
                <w:kern w:val="0"/>
                <w:sz w:val="24"/>
                <w:u w:val="none"/>
                <w:shd w:val="clear" w:color="auto" w:fill="auto"/>
              </w:rPr>
              <w:t>HPV持续率/</w:t>
            </w:r>
            <w:r>
              <w:rPr>
                <w:rFonts w:hint="eastAsia" w:ascii="Times New Roman" w:hAnsi="Times New Roman" w:eastAsia="仿宋" w:cs="Times New Roman"/>
                <w:b w:val="0"/>
                <w:bCs w:val="0"/>
                <w:color w:val="000000"/>
                <w:kern w:val="0"/>
                <w:sz w:val="24"/>
                <w:u w:val="none"/>
                <w:shd w:val="clear" w:color="auto" w:fill="auto"/>
                <w:lang w:val="en-US" w:eastAsia="zh-CN"/>
              </w:rPr>
              <w:t>%</w:t>
            </w:r>
          </w:p>
        </w:tc>
        <w:tc>
          <w:tcPr>
            <w:tcW w:w="997" w:type="dxa"/>
            <w:tcBorders>
              <w:top w:val="single" w:color="auto" w:sz="4" w:space="0"/>
              <w:bottom w:val="single" w:color="auto" w:sz="4" w:space="0"/>
            </w:tcBorders>
            <w:noWrap w:val="0"/>
            <w:vAlign w:val="center"/>
          </w:tcPr>
          <w:p w14:paraId="7FFD7C66">
            <w:pPr>
              <w:keepNext w:val="0"/>
              <w:keepLines w:val="0"/>
              <w:suppressLineNumbers w:val="0"/>
              <w:spacing w:before="0" w:beforeAutospacing="0" w:after="0" w:afterAutospacing="0"/>
              <w:ind w:left="0" w:right="0"/>
              <w:jc w:val="center"/>
              <w:rPr>
                <w:rFonts w:hint="default" w:ascii="Times New Roman" w:hAnsi="Times New Roman" w:eastAsia="仿宋" w:cs="Times New Roman"/>
                <w:b w:val="0"/>
                <w:bCs w:val="0"/>
                <w:sz w:val="24"/>
                <w:u w:val="none"/>
                <w:shd w:val="clear" w:color="auto" w:fill="auto"/>
              </w:rPr>
            </w:pPr>
            <w:r>
              <w:rPr>
                <w:rFonts w:hint="default" w:ascii="Times New Roman" w:hAnsi="Times New Roman" w:eastAsia="仿宋" w:cs="Times New Roman"/>
                <w:b w:val="0"/>
                <w:bCs w:val="0"/>
                <w:color w:val="000000"/>
                <w:kern w:val="0"/>
                <w:sz w:val="24"/>
                <w:u w:val="none"/>
                <w:shd w:val="clear" w:color="auto" w:fill="auto"/>
              </w:rPr>
              <w:t>总例数</w:t>
            </w:r>
          </w:p>
        </w:tc>
        <w:tc>
          <w:tcPr>
            <w:tcW w:w="1301" w:type="dxa"/>
            <w:tcBorders>
              <w:top w:val="single" w:color="auto" w:sz="4" w:space="0"/>
              <w:bottom w:val="single" w:color="auto" w:sz="4" w:space="0"/>
            </w:tcBorders>
            <w:noWrap w:val="0"/>
            <w:vAlign w:val="center"/>
          </w:tcPr>
          <w:p w14:paraId="453DD77A">
            <w:pPr>
              <w:keepNext w:val="0"/>
              <w:keepLines w:val="0"/>
              <w:suppressLineNumbers w:val="0"/>
              <w:spacing w:before="0" w:beforeAutospacing="0" w:after="0" w:afterAutospacing="0"/>
              <w:ind w:left="0" w:right="0"/>
              <w:jc w:val="center"/>
              <w:rPr>
                <w:rFonts w:hint="eastAsia" w:ascii="Times New Roman" w:hAnsi="Times New Roman" w:eastAsia="仿宋" w:cs="Times New Roman"/>
                <w:b w:val="0"/>
                <w:bCs w:val="0"/>
                <w:sz w:val="24"/>
                <w:u w:val="none"/>
                <w:shd w:val="clear" w:color="auto" w:fill="auto"/>
                <w:lang w:val="en-US" w:eastAsia="zh-CN"/>
              </w:rPr>
            </w:pPr>
            <w:r>
              <w:rPr>
                <w:rFonts w:hint="default" w:ascii="Times New Roman" w:hAnsi="Times New Roman" w:eastAsia="仿宋" w:cs="Times New Roman"/>
                <w:b w:val="0"/>
                <w:bCs w:val="0"/>
                <w:color w:val="000000"/>
                <w:kern w:val="0"/>
                <w:sz w:val="24"/>
                <w:u w:val="none"/>
                <w:shd w:val="clear" w:color="auto" w:fill="auto"/>
              </w:rPr>
              <w:t>病变</w:t>
            </w:r>
            <w:r>
              <w:rPr>
                <w:rFonts w:hint="default" w:ascii="Times New Roman" w:hAnsi="Times New Roman" w:eastAsia="仿宋" w:cs="Times New Roman"/>
                <w:b w:val="0"/>
                <w:bCs w:val="0"/>
                <w:color w:val="000000"/>
                <w:kern w:val="0"/>
                <w:sz w:val="24"/>
                <w:u w:val="none" w:color="auto"/>
                <w:shd w:val="clear" w:color="auto" w:fill="auto"/>
              </w:rPr>
              <w:t>持续</w:t>
            </w:r>
            <w:r>
              <w:rPr>
                <w:rFonts w:hint="default" w:ascii="Times New Roman" w:hAnsi="Times New Roman" w:eastAsia="仿宋" w:cs="Times New Roman"/>
                <w:b w:val="0"/>
                <w:bCs w:val="0"/>
                <w:color w:val="000000"/>
                <w:kern w:val="0"/>
                <w:sz w:val="24"/>
                <w:u w:val="none"/>
                <w:shd w:val="clear" w:color="auto" w:fill="auto"/>
              </w:rPr>
              <w:t>/</w:t>
            </w:r>
            <w:r>
              <w:rPr>
                <w:rFonts w:hint="default" w:ascii="Times New Roman" w:hAnsi="Times New Roman" w:eastAsia="仿宋" w:cs="Times New Roman"/>
                <w:b w:val="0"/>
                <w:bCs w:val="0"/>
                <w:color w:val="000000"/>
                <w:kern w:val="0"/>
                <w:sz w:val="24"/>
                <w:u w:val="none"/>
                <w:shd w:val="clear" w:color="auto" w:fill="auto"/>
              </w:rPr>
              <w:br w:type="textWrapping"/>
            </w:r>
            <w:r>
              <w:rPr>
                <w:rFonts w:hint="default" w:ascii="Times New Roman" w:hAnsi="Times New Roman" w:eastAsia="仿宋" w:cs="Times New Roman"/>
                <w:b w:val="0"/>
                <w:bCs w:val="0"/>
                <w:color w:val="000000"/>
                <w:kern w:val="0"/>
                <w:sz w:val="24"/>
                <w:u w:val="none"/>
                <w:shd w:val="clear" w:color="auto" w:fill="auto"/>
              </w:rPr>
              <w:t>加重率/</w:t>
            </w:r>
            <w:r>
              <w:rPr>
                <w:rFonts w:hint="eastAsia" w:ascii="Times New Roman" w:hAnsi="Times New Roman" w:eastAsia="仿宋" w:cs="Times New Roman"/>
                <w:b w:val="0"/>
                <w:bCs w:val="0"/>
                <w:color w:val="000000"/>
                <w:kern w:val="0"/>
                <w:sz w:val="24"/>
                <w:u w:val="none"/>
                <w:shd w:val="clear" w:color="auto" w:fill="auto"/>
                <w:lang w:val="en-US" w:eastAsia="zh-CN"/>
              </w:rPr>
              <w:t>%</w:t>
            </w:r>
          </w:p>
        </w:tc>
        <w:tc>
          <w:tcPr>
            <w:tcW w:w="1925" w:type="dxa"/>
            <w:tcBorders>
              <w:top w:val="single" w:color="auto" w:sz="4" w:space="0"/>
              <w:bottom w:val="single" w:color="auto" w:sz="4" w:space="0"/>
            </w:tcBorders>
            <w:noWrap w:val="0"/>
            <w:vAlign w:val="center"/>
          </w:tcPr>
          <w:p w14:paraId="4ABBF84B">
            <w:pPr>
              <w:keepNext w:val="0"/>
              <w:keepLines w:val="0"/>
              <w:suppressLineNumbers w:val="0"/>
              <w:spacing w:before="0" w:beforeAutospacing="0" w:after="0" w:afterAutospacing="0"/>
              <w:ind w:left="0" w:right="0"/>
              <w:jc w:val="center"/>
              <w:rPr>
                <w:rFonts w:hint="eastAsia" w:ascii="Times New Roman" w:hAnsi="Times New Roman" w:eastAsia="仿宋" w:cs="Times New Roman"/>
                <w:b w:val="0"/>
                <w:bCs w:val="0"/>
                <w:sz w:val="24"/>
                <w:u w:val="none"/>
                <w:shd w:val="clear" w:color="auto" w:fill="auto"/>
                <w:lang w:val="en-US" w:eastAsia="zh-CN"/>
              </w:rPr>
            </w:pPr>
            <w:r>
              <w:rPr>
                <w:rFonts w:hint="default" w:ascii="Times New Roman" w:hAnsi="Times New Roman" w:eastAsia="仿宋" w:cs="Times New Roman"/>
                <w:b w:val="0"/>
                <w:bCs w:val="0"/>
                <w:color w:val="000000"/>
                <w:kern w:val="0"/>
                <w:sz w:val="24"/>
                <w:u w:val="none"/>
                <w:shd w:val="clear" w:color="auto" w:fill="auto"/>
              </w:rPr>
              <w:t>HPV持续率/</w:t>
            </w:r>
            <w:r>
              <w:rPr>
                <w:rFonts w:hint="eastAsia" w:ascii="Times New Roman" w:hAnsi="Times New Roman" w:eastAsia="仿宋" w:cs="Times New Roman"/>
                <w:b w:val="0"/>
                <w:bCs w:val="0"/>
                <w:color w:val="000000"/>
                <w:kern w:val="0"/>
                <w:sz w:val="24"/>
                <w:u w:val="none"/>
                <w:shd w:val="clear" w:color="auto" w:fill="auto"/>
                <w:lang w:val="en-US" w:eastAsia="zh-CN"/>
              </w:rPr>
              <w:t>%</w:t>
            </w:r>
          </w:p>
        </w:tc>
      </w:tr>
      <w:tr w14:paraId="4A95302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302" w:type="dxa"/>
            <w:tcBorders>
              <w:top w:val="single" w:color="auto" w:sz="4" w:space="0"/>
            </w:tcBorders>
            <w:noWrap w:val="0"/>
            <w:vAlign w:val="center"/>
          </w:tcPr>
          <w:p w14:paraId="76ECE6B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Times New Roman" w:hAnsi="Times New Roman" w:eastAsia="仿宋" w:cs="Times New Roman"/>
                <w:sz w:val="24"/>
                <w:u w:val="none"/>
                <w:shd w:val="clear" w:color="auto" w:fill="auto"/>
              </w:rPr>
            </w:pPr>
            <w:r>
              <w:rPr>
                <w:rFonts w:hint="default" w:ascii="Times New Roman" w:hAnsi="Times New Roman" w:eastAsia="仿宋" w:cs="Times New Roman"/>
                <w:color w:val="000000"/>
                <w:kern w:val="0"/>
                <w:sz w:val="24"/>
                <w:u w:val="none"/>
                <w:shd w:val="clear" w:color="auto" w:fill="auto"/>
              </w:rPr>
              <w:t>ASC-US</w:t>
            </w:r>
          </w:p>
        </w:tc>
        <w:tc>
          <w:tcPr>
            <w:tcW w:w="1252" w:type="dxa"/>
            <w:tcBorders>
              <w:top w:val="single" w:color="auto" w:sz="4" w:space="0"/>
            </w:tcBorders>
            <w:noWrap w:val="0"/>
            <w:vAlign w:val="center"/>
          </w:tcPr>
          <w:p w14:paraId="753A41C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Times New Roman" w:hAnsi="Times New Roman" w:eastAsia="仿宋" w:cs="Times New Roman"/>
                <w:color w:val="auto"/>
                <w:sz w:val="24"/>
                <w:u w:val="none"/>
                <w:shd w:val="clear" w:color="auto" w:fill="auto"/>
                <w:lang w:eastAsia="zh-CN"/>
              </w:rPr>
            </w:pPr>
            <w:r>
              <w:rPr>
                <w:rFonts w:hint="default" w:ascii="Times New Roman" w:hAnsi="Times New Roman" w:cs="Times New Roman"/>
                <w:color w:val="auto"/>
                <w:u w:val="none"/>
                <w:shd w:val="clear" w:color="auto" w:fill="auto"/>
                <w:lang w:val="en-US" w:eastAsia="zh-CN"/>
              </w:rPr>
              <w:t>+</w:t>
            </w:r>
          </w:p>
        </w:tc>
        <w:tc>
          <w:tcPr>
            <w:tcW w:w="964" w:type="dxa"/>
            <w:tcBorders>
              <w:top w:val="single" w:color="auto" w:sz="4" w:space="0"/>
            </w:tcBorders>
            <w:noWrap w:val="0"/>
            <w:vAlign w:val="center"/>
          </w:tcPr>
          <w:p w14:paraId="22D7C82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Times New Roman" w:hAnsi="Times New Roman" w:eastAsia="仿宋" w:cs="Times New Roman"/>
                <w:sz w:val="24"/>
                <w:u w:val="none"/>
                <w:shd w:val="clear" w:color="auto" w:fill="auto"/>
              </w:rPr>
            </w:pPr>
            <w:r>
              <w:rPr>
                <w:rFonts w:hint="default" w:ascii="Times New Roman" w:hAnsi="Times New Roman" w:eastAsia="仿宋" w:cs="Times New Roman"/>
                <w:color w:val="000000"/>
                <w:kern w:val="0"/>
                <w:sz w:val="24"/>
                <w:u w:val="none"/>
                <w:shd w:val="clear" w:color="auto" w:fill="auto"/>
              </w:rPr>
              <w:t>37</w:t>
            </w:r>
          </w:p>
        </w:tc>
        <w:tc>
          <w:tcPr>
            <w:tcW w:w="1369" w:type="dxa"/>
            <w:tcBorders>
              <w:top w:val="single" w:color="auto" w:sz="4" w:space="0"/>
            </w:tcBorders>
            <w:noWrap w:val="0"/>
            <w:vAlign w:val="center"/>
          </w:tcPr>
          <w:p w14:paraId="43F1C6A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Times New Roman" w:hAnsi="Times New Roman" w:eastAsia="仿宋" w:cs="Times New Roman"/>
                <w:sz w:val="24"/>
                <w:u w:val="none"/>
                <w:shd w:val="clear" w:color="auto" w:fill="auto"/>
              </w:rPr>
            </w:pPr>
            <w:r>
              <w:rPr>
                <w:rFonts w:hint="default" w:ascii="Times New Roman" w:hAnsi="Times New Roman" w:eastAsia="仿宋" w:cs="Times New Roman"/>
                <w:color w:val="000000"/>
                <w:kern w:val="0"/>
                <w:sz w:val="24"/>
                <w:u w:val="none"/>
                <w:shd w:val="clear" w:color="auto" w:fill="auto"/>
              </w:rPr>
              <w:t>0</w:t>
            </w:r>
          </w:p>
        </w:tc>
        <w:tc>
          <w:tcPr>
            <w:tcW w:w="1838" w:type="dxa"/>
            <w:tcBorders>
              <w:top w:val="single" w:color="auto" w:sz="4" w:space="0"/>
            </w:tcBorders>
            <w:noWrap w:val="0"/>
            <w:vAlign w:val="center"/>
          </w:tcPr>
          <w:p w14:paraId="48B0217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Times New Roman" w:hAnsi="Times New Roman" w:eastAsia="仿宋" w:cs="Times New Roman"/>
                <w:sz w:val="24"/>
                <w:u w:val="none"/>
                <w:shd w:val="clear" w:color="auto" w:fill="auto"/>
              </w:rPr>
            </w:pPr>
            <w:r>
              <w:rPr>
                <w:rFonts w:hint="eastAsia" w:ascii="Times New Roman" w:hAnsi="Times New Roman" w:eastAsia="仿宋" w:cs="Times New Roman"/>
                <w:color w:val="000000"/>
                <w:kern w:val="0"/>
                <w:sz w:val="24"/>
                <w:u w:val="none"/>
                <w:shd w:val="clear" w:color="auto" w:fill="auto"/>
                <w:lang w:val="en-US" w:eastAsia="zh-CN"/>
              </w:rPr>
              <w:t>24.32</w:t>
            </w:r>
            <w:r>
              <w:rPr>
                <w:rFonts w:hint="default" w:ascii="Times New Roman" w:hAnsi="Times New Roman" w:eastAsia="仿宋" w:cs="Times New Roman"/>
                <w:color w:val="000000"/>
                <w:kern w:val="0"/>
                <w:sz w:val="24"/>
                <w:u w:val="none"/>
                <w:shd w:val="clear" w:color="auto" w:fill="auto"/>
              </w:rPr>
              <w:t>（</w:t>
            </w:r>
            <w:r>
              <w:rPr>
                <w:rFonts w:hint="eastAsia" w:ascii="Times New Roman" w:hAnsi="Times New Roman" w:eastAsia="仿宋" w:cs="Times New Roman"/>
                <w:color w:val="000000"/>
                <w:kern w:val="0"/>
                <w:sz w:val="24"/>
                <w:u w:val="none"/>
                <w:shd w:val="clear" w:color="auto" w:fill="auto"/>
                <w:lang w:val="en-US" w:eastAsia="zh-CN"/>
              </w:rPr>
              <w:t>9</w:t>
            </w:r>
            <w:r>
              <w:rPr>
                <w:rFonts w:hint="default" w:ascii="Times New Roman" w:hAnsi="Times New Roman" w:eastAsia="仿宋" w:cs="Times New Roman"/>
                <w:color w:val="000000"/>
                <w:kern w:val="0"/>
                <w:sz w:val="24"/>
                <w:u w:val="none"/>
                <w:shd w:val="clear" w:color="auto" w:fill="auto"/>
              </w:rPr>
              <w:t>/37）</w:t>
            </w:r>
          </w:p>
        </w:tc>
        <w:tc>
          <w:tcPr>
            <w:tcW w:w="997" w:type="dxa"/>
            <w:tcBorders>
              <w:top w:val="single" w:color="auto" w:sz="4" w:space="0"/>
            </w:tcBorders>
            <w:noWrap w:val="0"/>
            <w:vAlign w:val="center"/>
          </w:tcPr>
          <w:p w14:paraId="14EC775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Times New Roman" w:hAnsi="Times New Roman" w:eastAsia="仿宋" w:cs="Times New Roman"/>
                <w:sz w:val="24"/>
                <w:u w:val="none"/>
                <w:shd w:val="clear" w:color="auto" w:fill="auto"/>
              </w:rPr>
            </w:pPr>
            <w:r>
              <w:rPr>
                <w:rFonts w:hint="default" w:ascii="Times New Roman" w:hAnsi="Times New Roman" w:eastAsia="仿宋" w:cs="Times New Roman"/>
                <w:color w:val="000000"/>
                <w:kern w:val="0"/>
                <w:sz w:val="24"/>
                <w:u w:val="none"/>
                <w:shd w:val="clear" w:color="auto" w:fill="auto"/>
              </w:rPr>
              <w:t>15</w:t>
            </w:r>
          </w:p>
        </w:tc>
        <w:tc>
          <w:tcPr>
            <w:tcW w:w="1301" w:type="dxa"/>
            <w:tcBorders>
              <w:top w:val="single" w:color="auto" w:sz="4" w:space="0"/>
            </w:tcBorders>
            <w:noWrap w:val="0"/>
            <w:vAlign w:val="center"/>
          </w:tcPr>
          <w:p w14:paraId="7D6FB10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Times New Roman" w:hAnsi="Times New Roman" w:eastAsia="仿宋" w:cs="Times New Roman"/>
                <w:sz w:val="24"/>
                <w:u w:val="none"/>
                <w:shd w:val="clear" w:color="auto" w:fill="auto"/>
              </w:rPr>
            </w:pPr>
            <w:r>
              <w:rPr>
                <w:rFonts w:hint="default" w:ascii="Times New Roman" w:hAnsi="Times New Roman" w:eastAsia="仿宋" w:cs="Times New Roman"/>
                <w:color w:val="000000"/>
                <w:kern w:val="0"/>
                <w:sz w:val="24"/>
                <w:u w:val="none"/>
                <w:shd w:val="clear" w:color="auto" w:fill="auto"/>
              </w:rPr>
              <w:t>0</w:t>
            </w:r>
          </w:p>
        </w:tc>
        <w:tc>
          <w:tcPr>
            <w:tcW w:w="1925" w:type="dxa"/>
            <w:tcBorders>
              <w:top w:val="single" w:color="auto" w:sz="4" w:space="0"/>
            </w:tcBorders>
            <w:noWrap w:val="0"/>
            <w:vAlign w:val="center"/>
          </w:tcPr>
          <w:p w14:paraId="014DD09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Times New Roman" w:hAnsi="Times New Roman" w:eastAsia="仿宋" w:cs="Times New Roman"/>
                <w:sz w:val="24"/>
                <w:u w:val="none"/>
                <w:shd w:val="clear" w:color="auto" w:fill="auto"/>
              </w:rPr>
            </w:pPr>
            <w:r>
              <w:rPr>
                <w:rFonts w:hint="eastAsia" w:ascii="Times New Roman" w:hAnsi="Times New Roman" w:eastAsia="仿宋" w:cs="Times New Roman"/>
                <w:color w:val="000000"/>
                <w:kern w:val="0"/>
                <w:sz w:val="24"/>
                <w:u w:val="none"/>
                <w:shd w:val="clear" w:color="auto" w:fill="auto"/>
                <w:lang w:val="en-US" w:eastAsia="zh-CN"/>
              </w:rPr>
              <w:t>20.0</w:t>
            </w:r>
            <w:r>
              <w:rPr>
                <w:rFonts w:hint="default" w:ascii="Times New Roman" w:hAnsi="Times New Roman" w:eastAsia="仿宋" w:cs="Times New Roman"/>
                <w:color w:val="000000"/>
                <w:kern w:val="0"/>
                <w:sz w:val="24"/>
                <w:u w:val="none"/>
                <w:shd w:val="clear" w:color="auto" w:fill="auto"/>
              </w:rPr>
              <w:t>（</w:t>
            </w:r>
            <w:r>
              <w:rPr>
                <w:rFonts w:hint="eastAsia" w:ascii="Times New Roman" w:hAnsi="Times New Roman" w:eastAsia="仿宋" w:cs="Times New Roman"/>
                <w:color w:val="000000"/>
                <w:kern w:val="0"/>
                <w:sz w:val="24"/>
                <w:u w:val="none"/>
                <w:shd w:val="clear" w:color="auto" w:fill="auto"/>
                <w:lang w:val="en-US" w:eastAsia="zh-CN"/>
              </w:rPr>
              <w:t>3</w:t>
            </w:r>
            <w:r>
              <w:rPr>
                <w:rFonts w:hint="default" w:ascii="Times New Roman" w:hAnsi="Times New Roman" w:eastAsia="仿宋" w:cs="Times New Roman"/>
                <w:color w:val="000000"/>
                <w:kern w:val="0"/>
                <w:sz w:val="24"/>
                <w:u w:val="none"/>
                <w:shd w:val="clear" w:color="auto" w:fill="auto"/>
              </w:rPr>
              <w:t>/ 15）</w:t>
            </w:r>
          </w:p>
        </w:tc>
      </w:tr>
      <w:tr w14:paraId="0CFCB15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302" w:type="dxa"/>
            <w:noWrap w:val="0"/>
            <w:vAlign w:val="center"/>
          </w:tcPr>
          <w:p w14:paraId="321F319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Times New Roman" w:hAnsi="Times New Roman" w:eastAsia="仿宋" w:cs="Times New Roman"/>
                <w:sz w:val="24"/>
                <w:u w:val="none"/>
                <w:shd w:val="clear" w:color="auto" w:fill="auto"/>
              </w:rPr>
            </w:pPr>
            <w:r>
              <w:rPr>
                <w:rFonts w:hint="default" w:ascii="Times New Roman" w:hAnsi="Times New Roman" w:eastAsia="仿宋" w:cs="Times New Roman"/>
                <w:color w:val="000000"/>
                <w:kern w:val="0"/>
                <w:sz w:val="24"/>
                <w:u w:val="none"/>
                <w:shd w:val="clear" w:color="auto" w:fill="auto"/>
              </w:rPr>
              <w:t>LSIL</w:t>
            </w:r>
          </w:p>
        </w:tc>
        <w:tc>
          <w:tcPr>
            <w:tcW w:w="1252" w:type="dxa"/>
            <w:noWrap w:val="0"/>
            <w:vAlign w:val="center"/>
          </w:tcPr>
          <w:p w14:paraId="7AC4179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Times New Roman" w:hAnsi="Times New Roman" w:eastAsia="仿宋" w:cs="Times New Roman"/>
                <w:color w:val="auto"/>
                <w:sz w:val="24"/>
                <w:u w:val="none"/>
                <w:shd w:val="clear" w:color="auto" w:fill="auto"/>
                <w:lang w:eastAsia="zh-CN"/>
              </w:rPr>
            </w:pPr>
            <w:r>
              <w:rPr>
                <w:rFonts w:hint="default" w:ascii="Times New Roman" w:hAnsi="Times New Roman" w:cs="Times New Roman"/>
                <w:color w:val="auto"/>
                <w:u w:val="none"/>
                <w:shd w:val="clear" w:color="auto" w:fill="auto"/>
                <w:lang w:val="en-US" w:eastAsia="zh-CN"/>
              </w:rPr>
              <w:t>+</w:t>
            </w:r>
          </w:p>
        </w:tc>
        <w:tc>
          <w:tcPr>
            <w:tcW w:w="964" w:type="dxa"/>
            <w:noWrap w:val="0"/>
            <w:vAlign w:val="center"/>
          </w:tcPr>
          <w:p w14:paraId="5E4A9BA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Times New Roman" w:hAnsi="Times New Roman" w:eastAsia="仿宋" w:cs="Times New Roman"/>
                <w:sz w:val="24"/>
                <w:u w:val="none"/>
                <w:shd w:val="clear" w:color="auto" w:fill="auto"/>
              </w:rPr>
            </w:pPr>
            <w:r>
              <w:rPr>
                <w:rFonts w:hint="default" w:ascii="Times New Roman" w:hAnsi="Times New Roman" w:eastAsia="仿宋" w:cs="Times New Roman"/>
                <w:color w:val="000000"/>
                <w:kern w:val="0"/>
                <w:sz w:val="24"/>
                <w:u w:val="none"/>
                <w:shd w:val="clear" w:color="auto" w:fill="auto"/>
              </w:rPr>
              <w:t>16</w:t>
            </w:r>
          </w:p>
        </w:tc>
        <w:tc>
          <w:tcPr>
            <w:tcW w:w="1369" w:type="dxa"/>
            <w:noWrap w:val="0"/>
            <w:vAlign w:val="center"/>
          </w:tcPr>
          <w:p w14:paraId="7A38ED2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Times New Roman" w:hAnsi="Times New Roman" w:eastAsia="仿宋" w:cs="Times New Roman"/>
                <w:sz w:val="24"/>
                <w:u w:val="none"/>
                <w:shd w:val="clear" w:color="auto" w:fill="auto"/>
              </w:rPr>
            </w:pPr>
            <w:r>
              <w:rPr>
                <w:rFonts w:hint="default" w:ascii="Times New Roman" w:hAnsi="Times New Roman" w:eastAsia="仿宋" w:cs="Times New Roman"/>
                <w:color w:val="000000"/>
                <w:kern w:val="0"/>
                <w:sz w:val="24"/>
                <w:u w:val="none"/>
                <w:shd w:val="clear" w:color="auto" w:fill="auto"/>
              </w:rPr>
              <w:t>6.25（1/16）</w:t>
            </w:r>
          </w:p>
        </w:tc>
        <w:tc>
          <w:tcPr>
            <w:tcW w:w="1838" w:type="dxa"/>
            <w:noWrap w:val="0"/>
            <w:vAlign w:val="center"/>
          </w:tcPr>
          <w:p w14:paraId="33424CE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Times New Roman" w:hAnsi="Times New Roman" w:eastAsia="仿宋" w:cs="Times New Roman"/>
                <w:sz w:val="24"/>
                <w:u w:val="none"/>
                <w:shd w:val="clear" w:color="auto" w:fill="auto"/>
              </w:rPr>
            </w:pPr>
            <w:r>
              <w:rPr>
                <w:rFonts w:hint="default" w:ascii="Times New Roman" w:hAnsi="Times New Roman" w:eastAsia="仿宋" w:cs="Times New Roman"/>
                <w:color w:val="000000"/>
                <w:kern w:val="0"/>
                <w:sz w:val="24"/>
                <w:u w:val="none"/>
                <w:shd w:val="clear" w:color="auto" w:fill="auto"/>
              </w:rPr>
              <w:t>37.5（6/16）</w:t>
            </w:r>
          </w:p>
        </w:tc>
        <w:tc>
          <w:tcPr>
            <w:tcW w:w="997" w:type="dxa"/>
            <w:noWrap w:val="0"/>
            <w:vAlign w:val="center"/>
          </w:tcPr>
          <w:p w14:paraId="3DD0EE3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Times New Roman" w:hAnsi="Times New Roman" w:eastAsia="仿宋" w:cs="Times New Roman"/>
                <w:sz w:val="24"/>
                <w:u w:val="none"/>
                <w:shd w:val="clear" w:color="auto" w:fill="auto"/>
              </w:rPr>
            </w:pPr>
            <w:r>
              <w:rPr>
                <w:rFonts w:hint="default" w:ascii="Times New Roman" w:hAnsi="Times New Roman" w:eastAsia="仿宋" w:cs="Times New Roman"/>
                <w:color w:val="000000"/>
                <w:kern w:val="0"/>
                <w:sz w:val="24"/>
                <w:u w:val="none"/>
                <w:shd w:val="clear" w:color="auto" w:fill="auto"/>
              </w:rPr>
              <w:t>4</w:t>
            </w:r>
          </w:p>
        </w:tc>
        <w:tc>
          <w:tcPr>
            <w:tcW w:w="1301" w:type="dxa"/>
            <w:noWrap w:val="0"/>
            <w:vAlign w:val="center"/>
          </w:tcPr>
          <w:p w14:paraId="10BA432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Times New Roman" w:hAnsi="Times New Roman" w:eastAsia="仿宋" w:cs="Times New Roman"/>
                <w:sz w:val="24"/>
                <w:u w:val="none"/>
                <w:shd w:val="clear" w:color="auto" w:fill="auto"/>
              </w:rPr>
            </w:pPr>
            <w:r>
              <w:rPr>
                <w:rFonts w:hint="default" w:ascii="Times New Roman" w:hAnsi="Times New Roman" w:eastAsia="仿宋" w:cs="Times New Roman"/>
                <w:color w:val="000000"/>
                <w:kern w:val="0"/>
                <w:sz w:val="24"/>
                <w:u w:val="none"/>
                <w:shd w:val="clear" w:color="auto" w:fill="auto"/>
              </w:rPr>
              <w:t>0</w:t>
            </w:r>
          </w:p>
        </w:tc>
        <w:tc>
          <w:tcPr>
            <w:tcW w:w="1925" w:type="dxa"/>
            <w:noWrap w:val="0"/>
            <w:vAlign w:val="center"/>
          </w:tcPr>
          <w:p w14:paraId="4ADE788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Times New Roman" w:hAnsi="Times New Roman" w:eastAsia="仿宋" w:cs="Times New Roman"/>
                <w:sz w:val="24"/>
                <w:u w:val="none"/>
                <w:shd w:val="clear" w:color="auto" w:fill="auto"/>
              </w:rPr>
            </w:pPr>
            <w:r>
              <w:rPr>
                <w:rFonts w:hint="default" w:ascii="Times New Roman" w:hAnsi="Times New Roman" w:eastAsia="仿宋" w:cs="Times New Roman"/>
                <w:color w:val="000000"/>
                <w:kern w:val="0"/>
                <w:sz w:val="24"/>
                <w:u w:val="none"/>
                <w:shd w:val="clear" w:color="auto" w:fill="auto"/>
              </w:rPr>
              <w:t>25.0（1/4）</w:t>
            </w:r>
          </w:p>
        </w:tc>
      </w:tr>
      <w:tr w14:paraId="061693E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302" w:type="dxa"/>
            <w:noWrap w:val="0"/>
            <w:vAlign w:val="center"/>
          </w:tcPr>
          <w:p w14:paraId="2A18BB1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Times New Roman" w:hAnsi="Times New Roman" w:eastAsia="仿宋" w:cs="Times New Roman"/>
                <w:sz w:val="24"/>
                <w:u w:val="none"/>
                <w:shd w:val="clear" w:color="auto" w:fill="auto"/>
              </w:rPr>
            </w:pPr>
            <w:r>
              <w:rPr>
                <w:rFonts w:hint="default" w:ascii="Times New Roman" w:hAnsi="Times New Roman" w:eastAsia="仿宋" w:cs="Times New Roman"/>
                <w:color w:val="000000"/>
                <w:kern w:val="0"/>
                <w:sz w:val="24"/>
                <w:u w:val="none"/>
                <w:shd w:val="clear" w:color="auto" w:fill="auto"/>
              </w:rPr>
              <w:t>HSIL</w:t>
            </w:r>
          </w:p>
        </w:tc>
        <w:tc>
          <w:tcPr>
            <w:tcW w:w="1252" w:type="dxa"/>
            <w:noWrap w:val="0"/>
            <w:vAlign w:val="center"/>
          </w:tcPr>
          <w:p w14:paraId="3C09308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Times New Roman" w:hAnsi="Times New Roman" w:eastAsia="仿宋" w:cs="Times New Roman"/>
                <w:color w:val="auto"/>
                <w:sz w:val="24"/>
                <w:u w:val="none"/>
                <w:shd w:val="clear" w:color="auto" w:fill="auto"/>
              </w:rPr>
            </w:pPr>
            <w:r>
              <w:rPr>
                <w:rFonts w:hint="default" w:ascii="Times New Roman" w:hAnsi="Times New Roman" w:cs="Times New Roman"/>
                <w:color w:val="auto"/>
                <w:u w:val="none"/>
                <w:shd w:val="clear" w:color="auto" w:fill="auto"/>
                <w:lang w:val="en-US" w:eastAsia="zh-CN"/>
              </w:rPr>
              <w:t>+</w:t>
            </w:r>
          </w:p>
        </w:tc>
        <w:tc>
          <w:tcPr>
            <w:tcW w:w="964" w:type="dxa"/>
            <w:noWrap w:val="0"/>
            <w:vAlign w:val="center"/>
          </w:tcPr>
          <w:p w14:paraId="393C02B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Times New Roman" w:hAnsi="Times New Roman" w:eastAsia="仿宋" w:cs="Times New Roman"/>
                <w:sz w:val="24"/>
                <w:u w:val="none"/>
                <w:shd w:val="clear" w:color="auto" w:fill="auto"/>
              </w:rPr>
            </w:pPr>
            <w:r>
              <w:rPr>
                <w:rFonts w:hint="default" w:ascii="Times New Roman" w:hAnsi="Times New Roman" w:eastAsia="仿宋" w:cs="Times New Roman"/>
                <w:color w:val="000000"/>
                <w:kern w:val="0"/>
                <w:sz w:val="24"/>
                <w:u w:val="none"/>
                <w:shd w:val="clear" w:color="auto" w:fill="auto"/>
              </w:rPr>
              <w:t>4</w:t>
            </w:r>
          </w:p>
        </w:tc>
        <w:tc>
          <w:tcPr>
            <w:tcW w:w="1369" w:type="dxa"/>
            <w:noWrap w:val="0"/>
            <w:vAlign w:val="center"/>
          </w:tcPr>
          <w:p w14:paraId="44DCAC2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Times New Roman" w:hAnsi="Times New Roman" w:eastAsia="仿宋" w:cs="Times New Roman"/>
                <w:sz w:val="24"/>
                <w:u w:val="none"/>
                <w:shd w:val="clear" w:color="auto" w:fill="auto"/>
              </w:rPr>
            </w:pPr>
            <w:r>
              <w:rPr>
                <w:rFonts w:hint="default" w:ascii="Times New Roman" w:hAnsi="Times New Roman" w:eastAsia="仿宋" w:cs="Times New Roman"/>
                <w:color w:val="000000"/>
                <w:kern w:val="0"/>
                <w:sz w:val="24"/>
                <w:u w:val="none"/>
                <w:shd w:val="clear" w:color="auto" w:fill="auto"/>
              </w:rPr>
              <w:t>0</w:t>
            </w:r>
          </w:p>
        </w:tc>
        <w:tc>
          <w:tcPr>
            <w:tcW w:w="1838" w:type="dxa"/>
            <w:noWrap w:val="0"/>
            <w:vAlign w:val="center"/>
          </w:tcPr>
          <w:p w14:paraId="2F8E262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Times New Roman" w:hAnsi="Times New Roman" w:eastAsia="仿宋" w:cs="Times New Roman"/>
                <w:sz w:val="24"/>
                <w:u w:val="none"/>
                <w:shd w:val="clear" w:color="auto" w:fill="auto"/>
              </w:rPr>
            </w:pPr>
            <w:r>
              <w:rPr>
                <w:rFonts w:hint="default" w:ascii="Times New Roman" w:hAnsi="Times New Roman" w:eastAsia="仿宋" w:cs="Times New Roman"/>
                <w:color w:val="000000"/>
                <w:kern w:val="0"/>
                <w:sz w:val="24"/>
                <w:u w:val="none"/>
                <w:shd w:val="clear" w:color="auto" w:fill="auto"/>
              </w:rPr>
              <w:t>25.0（1/4）</w:t>
            </w:r>
          </w:p>
        </w:tc>
        <w:tc>
          <w:tcPr>
            <w:tcW w:w="997" w:type="dxa"/>
            <w:noWrap w:val="0"/>
            <w:vAlign w:val="center"/>
          </w:tcPr>
          <w:p w14:paraId="55BBF47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Times New Roman" w:hAnsi="Times New Roman" w:eastAsia="仿宋" w:cs="Times New Roman"/>
                <w:sz w:val="24"/>
                <w:u w:val="none"/>
                <w:shd w:val="clear" w:color="auto" w:fill="auto"/>
              </w:rPr>
            </w:pPr>
            <w:r>
              <w:rPr>
                <w:rFonts w:hint="default" w:ascii="Times New Roman" w:hAnsi="Times New Roman" w:eastAsia="仿宋" w:cs="Times New Roman"/>
                <w:color w:val="000000"/>
                <w:kern w:val="0"/>
                <w:sz w:val="24"/>
                <w:u w:val="none"/>
                <w:shd w:val="clear" w:color="auto" w:fill="auto"/>
              </w:rPr>
              <w:t>2</w:t>
            </w:r>
          </w:p>
        </w:tc>
        <w:tc>
          <w:tcPr>
            <w:tcW w:w="1301" w:type="dxa"/>
            <w:noWrap w:val="0"/>
            <w:vAlign w:val="center"/>
          </w:tcPr>
          <w:p w14:paraId="463F94B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Times New Roman" w:hAnsi="Times New Roman" w:eastAsia="仿宋" w:cs="Times New Roman"/>
                <w:sz w:val="24"/>
                <w:u w:val="none"/>
                <w:shd w:val="clear" w:color="auto" w:fill="auto"/>
              </w:rPr>
            </w:pPr>
            <w:r>
              <w:rPr>
                <w:rFonts w:hint="default" w:ascii="Times New Roman" w:hAnsi="Times New Roman" w:eastAsia="仿宋" w:cs="Times New Roman"/>
                <w:color w:val="000000"/>
                <w:kern w:val="0"/>
                <w:sz w:val="24"/>
                <w:u w:val="none"/>
                <w:shd w:val="clear" w:color="auto" w:fill="auto"/>
              </w:rPr>
              <w:t>0</w:t>
            </w:r>
          </w:p>
        </w:tc>
        <w:tc>
          <w:tcPr>
            <w:tcW w:w="1925" w:type="dxa"/>
            <w:noWrap w:val="0"/>
            <w:vAlign w:val="center"/>
          </w:tcPr>
          <w:p w14:paraId="2266087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Times New Roman" w:hAnsi="Times New Roman" w:eastAsia="仿宋" w:cs="Times New Roman"/>
                <w:sz w:val="24"/>
                <w:u w:val="none"/>
                <w:shd w:val="clear" w:color="auto" w:fill="auto"/>
              </w:rPr>
            </w:pPr>
            <w:r>
              <w:rPr>
                <w:rFonts w:hint="default" w:ascii="Times New Roman" w:hAnsi="Times New Roman" w:eastAsia="仿宋" w:cs="Times New Roman"/>
                <w:color w:val="000000"/>
                <w:kern w:val="0"/>
                <w:sz w:val="24"/>
                <w:u w:val="none"/>
                <w:shd w:val="clear" w:color="auto" w:fill="auto"/>
              </w:rPr>
              <w:t>0</w:t>
            </w:r>
          </w:p>
        </w:tc>
      </w:tr>
      <w:tr w14:paraId="7412BE9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302" w:type="dxa"/>
            <w:noWrap w:val="0"/>
            <w:vAlign w:val="center"/>
          </w:tcPr>
          <w:p w14:paraId="760EED2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Times New Roman" w:hAnsi="Times New Roman" w:eastAsia="仿宋" w:cs="Times New Roman"/>
                <w:sz w:val="24"/>
                <w:u w:val="none"/>
                <w:shd w:val="clear" w:color="auto" w:fill="auto"/>
              </w:rPr>
            </w:pPr>
            <w:r>
              <w:rPr>
                <w:rFonts w:hint="default" w:ascii="Times New Roman" w:hAnsi="Times New Roman" w:eastAsia="仿宋" w:cs="Times New Roman"/>
                <w:color w:val="000000"/>
                <w:kern w:val="0"/>
                <w:sz w:val="24"/>
                <w:u w:val="none"/>
                <w:shd w:val="clear" w:color="auto" w:fill="auto"/>
              </w:rPr>
              <w:t>阴性</w:t>
            </w:r>
          </w:p>
        </w:tc>
        <w:tc>
          <w:tcPr>
            <w:tcW w:w="1252" w:type="dxa"/>
            <w:noWrap w:val="0"/>
            <w:vAlign w:val="center"/>
          </w:tcPr>
          <w:p w14:paraId="0A87C63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Times New Roman" w:hAnsi="Times New Roman" w:eastAsia="仿宋" w:cs="Times New Roman"/>
                <w:color w:val="auto"/>
                <w:sz w:val="24"/>
                <w:u w:val="none"/>
                <w:shd w:val="clear" w:color="auto" w:fill="auto"/>
              </w:rPr>
            </w:pPr>
            <w:r>
              <w:rPr>
                <w:rFonts w:hint="default" w:ascii="Times New Roman" w:hAnsi="Times New Roman" w:cs="Times New Roman"/>
                <w:color w:val="auto"/>
                <w:u w:val="none"/>
                <w:shd w:val="clear" w:color="auto" w:fill="auto"/>
                <w:lang w:val="en-US" w:eastAsia="zh-CN"/>
              </w:rPr>
              <w:t>+</w:t>
            </w:r>
          </w:p>
        </w:tc>
        <w:tc>
          <w:tcPr>
            <w:tcW w:w="964" w:type="dxa"/>
            <w:noWrap w:val="0"/>
            <w:vAlign w:val="center"/>
          </w:tcPr>
          <w:p w14:paraId="6768A97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Times New Roman" w:hAnsi="Times New Roman" w:eastAsia="仿宋" w:cs="Times New Roman"/>
                <w:sz w:val="24"/>
                <w:u w:val="none"/>
                <w:shd w:val="clear" w:color="auto" w:fill="auto"/>
              </w:rPr>
            </w:pPr>
            <w:r>
              <w:rPr>
                <w:rFonts w:hint="default" w:ascii="Times New Roman" w:hAnsi="Times New Roman" w:eastAsia="仿宋" w:cs="Times New Roman"/>
                <w:color w:val="000000"/>
                <w:kern w:val="0"/>
                <w:sz w:val="24"/>
                <w:u w:val="none"/>
                <w:shd w:val="clear" w:color="auto" w:fill="auto"/>
              </w:rPr>
              <w:t>21</w:t>
            </w:r>
          </w:p>
        </w:tc>
        <w:tc>
          <w:tcPr>
            <w:tcW w:w="1369" w:type="dxa"/>
            <w:noWrap w:val="0"/>
            <w:vAlign w:val="center"/>
          </w:tcPr>
          <w:p w14:paraId="7924F40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Times New Roman" w:hAnsi="Times New Roman" w:eastAsia="仿宋" w:cs="Times New Roman"/>
                <w:sz w:val="24"/>
                <w:u w:val="none"/>
                <w:shd w:val="clear" w:color="auto" w:fill="auto"/>
              </w:rPr>
            </w:pPr>
            <w:r>
              <w:rPr>
                <w:rFonts w:hint="default" w:ascii="Times New Roman" w:hAnsi="Times New Roman" w:eastAsia="仿宋" w:cs="Times New Roman"/>
                <w:color w:val="000000"/>
                <w:kern w:val="0"/>
                <w:sz w:val="24"/>
                <w:u w:val="none"/>
                <w:shd w:val="clear" w:color="auto" w:fill="auto"/>
              </w:rPr>
              <w:t>0</w:t>
            </w:r>
          </w:p>
        </w:tc>
        <w:tc>
          <w:tcPr>
            <w:tcW w:w="1838" w:type="dxa"/>
            <w:noWrap w:val="0"/>
            <w:vAlign w:val="center"/>
          </w:tcPr>
          <w:p w14:paraId="72BBEC9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Times New Roman" w:hAnsi="Times New Roman" w:eastAsia="仿宋" w:cs="Times New Roman"/>
                <w:sz w:val="24"/>
                <w:u w:val="none"/>
                <w:shd w:val="clear" w:color="auto" w:fill="auto"/>
              </w:rPr>
            </w:pPr>
            <w:r>
              <w:rPr>
                <w:rFonts w:hint="eastAsia" w:ascii="Times New Roman" w:hAnsi="Times New Roman" w:eastAsia="仿宋" w:cs="Times New Roman"/>
                <w:color w:val="000000"/>
                <w:kern w:val="0"/>
                <w:sz w:val="24"/>
                <w:u w:val="none"/>
                <w:shd w:val="clear" w:color="auto" w:fill="auto"/>
                <w:lang w:val="en-US" w:eastAsia="zh-CN"/>
              </w:rPr>
              <w:t>19.04</w:t>
            </w:r>
            <w:r>
              <w:rPr>
                <w:rFonts w:hint="default" w:ascii="Times New Roman" w:hAnsi="Times New Roman" w:eastAsia="仿宋" w:cs="Times New Roman"/>
                <w:color w:val="000000"/>
                <w:kern w:val="0"/>
                <w:sz w:val="24"/>
                <w:u w:val="none"/>
                <w:shd w:val="clear" w:color="auto" w:fill="auto"/>
              </w:rPr>
              <w:t>（</w:t>
            </w:r>
            <w:r>
              <w:rPr>
                <w:rFonts w:hint="eastAsia" w:ascii="Times New Roman" w:hAnsi="Times New Roman" w:eastAsia="仿宋" w:cs="Times New Roman"/>
                <w:color w:val="000000"/>
                <w:kern w:val="0"/>
                <w:sz w:val="24"/>
                <w:u w:val="none"/>
                <w:shd w:val="clear" w:color="auto" w:fill="auto"/>
                <w:lang w:val="en-US" w:eastAsia="zh-CN"/>
              </w:rPr>
              <w:t>4</w:t>
            </w:r>
            <w:r>
              <w:rPr>
                <w:rFonts w:hint="default" w:ascii="Times New Roman" w:hAnsi="Times New Roman" w:eastAsia="仿宋" w:cs="Times New Roman"/>
                <w:color w:val="000000"/>
                <w:kern w:val="0"/>
                <w:sz w:val="24"/>
                <w:u w:val="none"/>
                <w:shd w:val="clear" w:color="auto" w:fill="auto"/>
              </w:rPr>
              <w:t>/21）</w:t>
            </w:r>
          </w:p>
        </w:tc>
        <w:tc>
          <w:tcPr>
            <w:tcW w:w="997" w:type="dxa"/>
            <w:noWrap w:val="0"/>
            <w:vAlign w:val="center"/>
          </w:tcPr>
          <w:p w14:paraId="78DD8B9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Times New Roman" w:hAnsi="Times New Roman" w:eastAsia="仿宋" w:cs="Times New Roman"/>
                <w:sz w:val="24"/>
                <w:u w:val="none"/>
                <w:shd w:val="clear" w:color="auto" w:fill="auto"/>
              </w:rPr>
            </w:pPr>
            <w:r>
              <w:rPr>
                <w:rFonts w:hint="default" w:ascii="Times New Roman" w:hAnsi="Times New Roman" w:eastAsia="仿宋" w:cs="Times New Roman"/>
                <w:color w:val="000000"/>
                <w:kern w:val="0"/>
                <w:sz w:val="24"/>
                <w:u w:val="none"/>
                <w:shd w:val="clear" w:color="auto" w:fill="auto"/>
              </w:rPr>
              <w:t>8</w:t>
            </w:r>
          </w:p>
        </w:tc>
        <w:tc>
          <w:tcPr>
            <w:tcW w:w="1301" w:type="dxa"/>
            <w:noWrap w:val="0"/>
            <w:vAlign w:val="center"/>
          </w:tcPr>
          <w:p w14:paraId="1DFE294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Times New Roman" w:hAnsi="Times New Roman" w:eastAsia="仿宋" w:cs="Times New Roman"/>
                <w:sz w:val="24"/>
                <w:u w:val="none"/>
                <w:shd w:val="clear" w:color="auto" w:fill="auto"/>
              </w:rPr>
            </w:pPr>
            <w:r>
              <w:rPr>
                <w:rFonts w:hint="default" w:ascii="Times New Roman" w:hAnsi="Times New Roman" w:eastAsia="仿宋" w:cs="Times New Roman"/>
                <w:color w:val="000000"/>
                <w:kern w:val="0"/>
                <w:sz w:val="24"/>
                <w:u w:val="none"/>
                <w:shd w:val="clear" w:color="auto" w:fill="auto"/>
              </w:rPr>
              <w:t>0</w:t>
            </w:r>
          </w:p>
        </w:tc>
        <w:tc>
          <w:tcPr>
            <w:tcW w:w="1925" w:type="dxa"/>
            <w:noWrap w:val="0"/>
            <w:vAlign w:val="center"/>
          </w:tcPr>
          <w:p w14:paraId="208E9AB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Times New Roman" w:hAnsi="Times New Roman" w:eastAsia="仿宋" w:cs="Times New Roman"/>
                <w:sz w:val="24"/>
                <w:u w:val="none"/>
                <w:shd w:val="clear" w:color="auto" w:fill="auto"/>
              </w:rPr>
            </w:pPr>
            <w:r>
              <w:rPr>
                <w:rFonts w:hint="eastAsia" w:ascii="Times New Roman" w:hAnsi="Times New Roman" w:eastAsia="仿宋" w:cs="Times New Roman"/>
                <w:color w:val="000000"/>
                <w:kern w:val="0"/>
                <w:sz w:val="24"/>
                <w:u w:val="none"/>
                <w:shd w:val="clear" w:color="auto" w:fill="auto"/>
                <w:lang w:val="en-US" w:eastAsia="zh-CN"/>
              </w:rPr>
              <w:t>12.5</w:t>
            </w:r>
            <w:r>
              <w:rPr>
                <w:rFonts w:hint="default" w:ascii="Times New Roman" w:hAnsi="Times New Roman" w:eastAsia="仿宋" w:cs="Times New Roman"/>
                <w:color w:val="000000"/>
                <w:kern w:val="0"/>
                <w:sz w:val="24"/>
                <w:u w:val="none"/>
                <w:shd w:val="clear" w:color="auto" w:fill="auto"/>
              </w:rPr>
              <w:t>.0（</w:t>
            </w:r>
            <w:r>
              <w:rPr>
                <w:rFonts w:hint="eastAsia" w:ascii="Times New Roman" w:hAnsi="Times New Roman" w:eastAsia="仿宋" w:cs="Times New Roman"/>
                <w:color w:val="000000"/>
                <w:kern w:val="0"/>
                <w:sz w:val="24"/>
                <w:u w:val="none"/>
                <w:shd w:val="clear" w:color="auto" w:fill="auto"/>
                <w:lang w:val="en-US" w:eastAsia="zh-CN"/>
              </w:rPr>
              <w:t>1</w:t>
            </w:r>
            <w:r>
              <w:rPr>
                <w:rFonts w:hint="default" w:ascii="Times New Roman" w:hAnsi="Times New Roman" w:eastAsia="仿宋" w:cs="Times New Roman"/>
                <w:color w:val="000000"/>
                <w:kern w:val="0"/>
                <w:sz w:val="24"/>
                <w:u w:val="none"/>
                <w:shd w:val="clear" w:color="auto" w:fill="auto"/>
              </w:rPr>
              <w:t>/8）</w:t>
            </w:r>
          </w:p>
        </w:tc>
      </w:tr>
      <w:tr w14:paraId="6D64F33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302" w:type="dxa"/>
            <w:noWrap w:val="0"/>
            <w:vAlign w:val="center"/>
          </w:tcPr>
          <w:p w14:paraId="2724BA7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Times New Roman" w:hAnsi="Times New Roman" w:eastAsia="仿宋" w:cs="Times New Roman"/>
                <w:sz w:val="24"/>
                <w:u w:val="none"/>
                <w:shd w:val="clear" w:color="auto" w:fill="auto"/>
              </w:rPr>
            </w:pPr>
            <w:r>
              <w:rPr>
                <w:rFonts w:hint="default" w:ascii="Times New Roman" w:hAnsi="Times New Roman" w:eastAsia="仿宋" w:cs="Times New Roman"/>
                <w:color w:val="000000"/>
                <w:kern w:val="0"/>
                <w:sz w:val="24"/>
                <w:u w:val="none"/>
                <w:shd w:val="clear" w:color="auto" w:fill="auto"/>
              </w:rPr>
              <w:t>未知</w:t>
            </w:r>
          </w:p>
        </w:tc>
        <w:tc>
          <w:tcPr>
            <w:tcW w:w="1252" w:type="dxa"/>
            <w:noWrap w:val="0"/>
            <w:vAlign w:val="center"/>
          </w:tcPr>
          <w:p w14:paraId="674FD34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Times New Roman" w:hAnsi="Times New Roman" w:eastAsia="仿宋" w:cs="Times New Roman"/>
                <w:color w:val="auto"/>
                <w:sz w:val="24"/>
                <w:u w:val="none"/>
                <w:shd w:val="clear" w:color="auto" w:fill="auto"/>
              </w:rPr>
            </w:pPr>
            <w:r>
              <w:rPr>
                <w:rFonts w:hint="default" w:ascii="Times New Roman" w:hAnsi="Times New Roman" w:cs="Times New Roman"/>
                <w:color w:val="auto"/>
                <w:u w:val="none"/>
                <w:shd w:val="clear" w:color="auto" w:fill="auto"/>
                <w:lang w:val="en-US" w:eastAsia="zh-CN"/>
              </w:rPr>
              <w:t>+</w:t>
            </w:r>
          </w:p>
        </w:tc>
        <w:tc>
          <w:tcPr>
            <w:tcW w:w="964" w:type="dxa"/>
            <w:noWrap w:val="0"/>
            <w:vAlign w:val="center"/>
          </w:tcPr>
          <w:p w14:paraId="5EBF0A0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Times New Roman" w:hAnsi="Times New Roman" w:eastAsia="仿宋" w:cs="Times New Roman"/>
                <w:sz w:val="24"/>
                <w:u w:val="none"/>
                <w:shd w:val="clear" w:color="auto" w:fill="auto"/>
              </w:rPr>
            </w:pPr>
            <w:r>
              <w:rPr>
                <w:rFonts w:hint="default" w:ascii="Times New Roman" w:hAnsi="Times New Roman" w:eastAsia="仿宋" w:cs="Times New Roman"/>
                <w:color w:val="000000"/>
                <w:kern w:val="0"/>
                <w:sz w:val="24"/>
                <w:u w:val="none"/>
                <w:shd w:val="clear" w:color="auto" w:fill="auto"/>
              </w:rPr>
              <w:t>1</w:t>
            </w:r>
          </w:p>
        </w:tc>
        <w:tc>
          <w:tcPr>
            <w:tcW w:w="1369" w:type="dxa"/>
            <w:noWrap w:val="0"/>
            <w:vAlign w:val="center"/>
          </w:tcPr>
          <w:p w14:paraId="3C1B548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Times New Roman" w:hAnsi="Times New Roman" w:eastAsia="仿宋" w:cs="Times New Roman"/>
                <w:sz w:val="24"/>
                <w:u w:val="none"/>
                <w:shd w:val="clear" w:color="auto" w:fill="auto"/>
              </w:rPr>
            </w:pPr>
            <w:r>
              <w:rPr>
                <w:rFonts w:hint="default" w:ascii="Times New Roman" w:hAnsi="Times New Roman" w:eastAsia="仿宋" w:cs="Times New Roman"/>
                <w:color w:val="000000"/>
                <w:kern w:val="0"/>
                <w:sz w:val="24"/>
                <w:u w:val="none"/>
                <w:shd w:val="clear" w:color="auto" w:fill="auto"/>
              </w:rPr>
              <w:t>0</w:t>
            </w:r>
          </w:p>
        </w:tc>
        <w:tc>
          <w:tcPr>
            <w:tcW w:w="1838" w:type="dxa"/>
            <w:noWrap w:val="0"/>
            <w:vAlign w:val="center"/>
          </w:tcPr>
          <w:p w14:paraId="3BC1166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Times New Roman" w:hAnsi="Times New Roman" w:eastAsia="仿宋" w:cs="Times New Roman"/>
                <w:sz w:val="24"/>
                <w:u w:val="none"/>
                <w:shd w:val="clear" w:color="auto" w:fill="auto"/>
              </w:rPr>
            </w:pPr>
            <w:r>
              <w:rPr>
                <w:rFonts w:hint="default" w:ascii="Times New Roman" w:hAnsi="Times New Roman" w:eastAsia="仿宋" w:cs="Times New Roman"/>
                <w:color w:val="000000"/>
                <w:kern w:val="0"/>
                <w:sz w:val="24"/>
                <w:u w:val="none"/>
                <w:shd w:val="clear" w:color="auto" w:fill="auto"/>
              </w:rPr>
              <w:t>0</w:t>
            </w:r>
          </w:p>
        </w:tc>
        <w:tc>
          <w:tcPr>
            <w:tcW w:w="997" w:type="dxa"/>
            <w:noWrap w:val="0"/>
            <w:vAlign w:val="center"/>
          </w:tcPr>
          <w:p w14:paraId="138DCD3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Times New Roman" w:hAnsi="Times New Roman" w:eastAsia="仿宋" w:cs="Times New Roman"/>
                <w:sz w:val="24"/>
                <w:u w:val="none"/>
                <w:shd w:val="clear" w:color="auto" w:fill="auto"/>
              </w:rPr>
            </w:pPr>
            <w:r>
              <w:rPr>
                <w:rFonts w:hint="default" w:ascii="Times New Roman" w:hAnsi="Times New Roman" w:eastAsia="仿宋" w:cs="Times New Roman"/>
                <w:color w:val="000000"/>
                <w:kern w:val="0"/>
                <w:sz w:val="24"/>
                <w:u w:val="none"/>
                <w:shd w:val="clear" w:color="auto" w:fill="auto"/>
              </w:rPr>
              <w:t>0</w:t>
            </w:r>
          </w:p>
        </w:tc>
        <w:tc>
          <w:tcPr>
            <w:tcW w:w="1301" w:type="dxa"/>
            <w:noWrap w:val="0"/>
            <w:vAlign w:val="center"/>
          </w:tcPr>
          <w:p w14:paraId="5BC19F8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Times New Roman" w:hAnsi="Times New Roman" w:eastAsia="仿宋" w:cs="Times New Roman"/>
                <w:sz w:val="24"/>
                <w:u w:val="none"/>
                <w:shd w:val="clear" w:color="auto" w:fill="auto"/>
              </w:rPr>
            </w:pPr>
            <w:r>
              <w:rPr>
                <w:rFonts w:hint="default" w:ascii="Times New Roman" w:hAnsi="Times New Roman" w:eastAsia="仿宋" w:cs="Times New Roman"/>
                <w:color w:val="000000"/>
                <w:kern w:val="0"/>
                <w:sz w:val="24"/>
                <w:u w:val="none"/>
                <w:shd w:val="clear" w:color="auto" w:fill="auto"/>
              </w:rPr>
              <w:t>0</w:t>
            </w:r>
          </w:p>
        </w:tc>
        <w:tc>
          <w:tcPr>
            <w:tcW w:w="1925" w:type="dxa"/>
            <w:noWrap w:val="0"/>
            <w:vAlign w:val="center"/>
          </w:tcPr>
          <w:p w14:paraId="467C2BB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Times New Roman" w:hAnsi="Times New Roman" w:eastAsia="仿宋" w:cs="Times New Roman"/>
                <w:sz w:val="24"/>
                <w:u w:val="none"/>
                <w:shd w:val="clear" w:color="auto" w:fill="auto"/>
              </w:rPr>
            </w:pPr>
            <w:r>
              <w:rPr>
                <w:rFonts w:hint="default" w:ascii="Times New Roman" w:hAnsi="Times New Roman" w:eastAsia="仿宋" w:cs="Times New Roman"/>
                <w:color w:val="000000"/>
                <w:kern w:val="0"/>
                <w:sz w:val="24"/>
                <w:u w:val="none"/>
                <w:shd w:val="clear" w:color="auto" w:fill="auto"/>
              </w:rPr>
              <w:t>0</w:t>
            </w:r>
          </w:p>
        </w:tc>
      </w:tr>
      <w:tr w14:paraId="0D6A0C6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302" w:type="dxa"/>
            <w:noWrap w:val="0"/>
            <w:vAlign w:val="center"/>
          </w:tcPr>
          <w:p w14:paraId="4A8F3BD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Times New Roman" w:hAnsi="Times New Roman" w:eastAsia="仿宋" w:cs="Times New Roman"/>
                <w:sz w:val="24"/>
                <w:u w:val="none"/>
                <w:shd w:val="clear" w:color="auto" w:fill="auto"/>
              </w:rPr>
            </w:pPr>
            <w:r>
              <w:rPr>
                <w:rFonts w:hint="default" w:ascii="Times New Roman" w:hAnsi="Times New Roman" w:eastAsia="仿宋" w:cs="Times New Roman"/>
                <w:color w:val="000000"/>
                <w:kern w:val="0"/>
                <w:sz w:val="24"/>
                <w:u w:val="none"/>
                <w:shd w:val="clear" w:color="auto" w:fill="auto"/>
              </w:rPr>
              <w:t>合计</w:t>
            </w:r>
          </w:p>
        </w:tc>
        <w:tc>
          <w:tcPr>
            <w:tcW w:w="1252" w:type="dxa"/>
            <w:noWrap w:val="0"/>
            <w:vAlign w:val="center"/>
          </w:tcPr>
          <w:p w14:paraId="72AA759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Times New Roman" w:hAnsi="Times New Roman" w:eastAsia="仿宋" w:cs="Times New Roman"/>
                <w:sz w:val="24"/>
                <w:u w:val="none"/>
                <w:shd w:val="clear" w:color="auto" w:fill="auto"/>
              </w:rPr>
            </w:pPr>
          </w:p>
        </w:tc>
        <w:tc>
          <w:tcPr>
            <w:tcW w:w="964" w:type="dxa"/>
            <w:noWrap w:val="0"/>
            <w:vAlign w:val="center"/>
          </w:tcPr>
          <w:p w14:paraId="6825F66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Times New Roman" w:hAnsi="Times New Roman" w:eastAsia="仿宋" w:cs="Times New Roman"/>
                <w:sz w:val="24"/>
                <w:u w:val="none"/>
                <w:shd w:val="clear" w:color="auto" w:fill="auto"/>
              </w:rPr>
            </w:pPr>
            <w:r>
              <w:rPr>
                <w:rFonts w:hint="default" w:ascii="Times New Roman" w:hAnsi="Times New Roman" w:eastAsia="仿宋" w:cs="Times New Roman"/>
                <w:color w:val="000000"/>
                <w:kern w:val="0"/>
                <w:sz w:val="24"/>
                <w:u w:val="none"/>
                <w:shd w:val="clear" w:color="auto" w:fill="auto"/>
              </w:rPr>
              <w:t>79</w:t>
            </w:r>
          </w:p>
        </w:tc>
        <w:tc>
          <w:tcPr>
            <w:tcW w:w="1369" w:type="dxa"/>
            <w:noWrap w:val="0"/>
            <w:vAlign w:val="center"/>
          </w:tcPr>
          <w:p w14:paraId="68BC313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Times New Roman" w:hAnsi="Times New Roman" w:eastAsia="仿宋" w:cs="Times New Roman"/>
                <w:sz w:val="24"/>
                <w:u w:val="none"/>
                <w:shd w:val="clear" w:color="auto" w:fill="auto"/>
              </w:rPr>
            </w:pPr>
            <w:r>
              <w:rPr>
                <w:rFonts w:hint="default" w:ascii="Times New Roman" w:hAnsi="Times New Roman" w:eastAsia="仿宋" w:cs="Times New Roman"/>
                <w:color w:val="000000"/>
                <w:kern w:val="0"/>
                <w:sz w:val="24"/>
                <w:u w:val="none"/>
                <w:shd w:val="clear" w:color="auto" w:fill="auto"/>
              </w:rPr>
              <w:t>1.27（1/79）</w:t>
            </w:r>
          </w:p>
        </w:tc>
        <w:tc>
          <w:tcPr>
            <w:tcW w:w="1838" w:type="dxa"/>
            <w:noWrap w:val="0"/>
            <w:vAlign w:val="center"/>
          </w:tcPr>
          <w:p w14:paraId="29EF552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Times New Roman" w:hAnsi="Times New Roman" w:eastAsia="仿宋" w:cs="Times New Roman"/>
                <w:sz w:val="24"/>
                <w:u w:val="none"/>
                <w:shd w:val="clear" w:color="auto" w:fill="auto"/>
              </w:rPr>
            </w:pPr>
            <w:r>
              <w:rPr>
                <w:rFonts w:hint="default" w:ascii="Times New Roman" w:hAnsi="Times New Roman" w:eastAsia="仿宋" w:cs="Times New Roman"/>
                <w:color w:val="000000"/>
                <w:kern w:val="0"/>
                <w:sz w:val="24"/>
                <w:u w:val="none"/>
                <w:shd w:val="clear" w:color="auto" w:fill="auto"/>
              </w:rPr>
              <w:t>25.32（20/79）</w:t>
            </w:r>
          </w:p>
        </w:tc>
        <w:tc>
          <w:tcPr>
            <w:tcW w:w="997" w:type="dxa"/>
            <w:noWrap w:val="0"/>
            <w:vAlign w:val="center"/>
          </w:tcPr>
          <w:p w14:paraId="38EBFCD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Times New Roman" w:hAnsi="Times New Roman" w:eastAsia="仿宋" w:cs="Times New Roman"/>
                <w:sz w:val="24"/>
                <w:u w:val="none"/>
                <w:shd w:val="clear" w:color="auto" w:fill="auto"/>
              </w:rPr>
            </w:pPr>
            <w:r>
              <w:rPr>
                <w:rFonts w:hint="default" w:ascii="Times New Roman" w:hAnsi="Times New Roman" w:eastAsia="仿宋" w:cs="Times New Roman"/>
                <w:color w:val="000000"/>
                <w:kern w:val="0"/>
                <w:sz w:val="24"/>
                <w:u w:val="none"/>
                <w:shd w:val="clear" w:color="auto" w:fill="auto"/>
              </w:rPr>
              <w:t>29</w:t>
            </w:r>
          </w:p>
        </w:tc>
        <w:tc>
          <w:tcPr>
            <w:tcW w:w="1301" w:type="dxa"/>
            <w:noWrap w:val="0"/>
            <w:vAlign w:val="center"/>
          </w:tcPr>
          <w:p w14:paraId="6EF7AEF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Times New Roman" w:hAnsi="Times New Roman" w:eastAsia="仿宋" w:cs="Times New Roman"/>
                <w:sz w:val="24"/>
                <w:u w:val="none"/>
                <w:shd w:val="clear" w:color="auto" w:fill="auto"/>
              </w:rPr>
            </w:pPr>
            <w:r>
              <w:rPr>
                <w:rFonts w:hint="default" w:ascii="Times New Roman" w:hAnsi="Times New Roman" w:eastAsia="仿宋" w:cs="Times New Roman"/>
                <w:color w:val="000000"/>
                <w:kern w:val="0"/>
                <w:sz w:val="24"/>
                <w:u w:val="none"/>
                <w:shd w:val="clear" w:color="auto" w:fill="auto"/>
              </w:rPr>
              <w:t>0</w:t>
            </w:r>
          </w:p>
        </w:tc>
        <w:tc>
          <w:tcPr>
            <w:tcW w:w="1925" w:type="dxa"/>
            <w:noWrap w:val="0"/>
            <w:vAlign w:val="center"/>
          </w:tcPr>
          <w:p w14:paraId="3CFFC3B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Times New Roman" w:hAnsi="Times New Roman" w:eastAsia="仿宋" w:cs="Times New Roman"/>
                <w:sz w:val="24"/>
                <w:u w:val="none"/>
                <w:shd w:val="clear" w:color="auto" w:fill="auto"/>
              </w:rPr>
            </w:pPr>
            <w:r>
              <w:rPr>
                <w:rFonts w:hint="default" w:ascii="Times New Roman" w:hAnsi="Times New Roman" w:eastAsia="仿宋" w:cs="Times New Roman"/>
                <w:color w:val="000000"/>
                <w:kern w:val="0"/>
                <w:sz w:val="24"/>
                <w:u w:val="none"/>
                <w:shd w:val="clear" w:color="auto" w:fill="auto"/>
              </w:rPr>
              <w:t>17.24（5/29）</w:t>
            </w:r>
          </w:p>
        </w:tc>
      </w:tr>
    </w:tbl>
    <w:p w14:paraId="1A2D1C53">
      <w:pPr>
        <w:rPr>
          <w:rFonts w:ascii="Times New Roman" w:hAnsi="Times New Roman" w:cs="Times New Roman"/>
          <w:u w:val="none"/>
          <w:shd w:val="clear" w:color="auto" w:fill="auto"/>
        </w:rPr>
      </w:pPr>
      <w:bookmarkStart w:id="0" w:name="_GoBack"/>
      <w:bookmarkEnd w:id="0"/>
    </w:p>
    <w:sectPr>
      <w:pgSz w:w="11906" w:h="16838"/>
      <w:pgMar w:top="1440" w:right="1803" w:bottom="1440" w:left="1803" w:header="851" w:footer="992" w:gutter="0"/>
      <w:cols w:space="72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hyphenationZone w:val="36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RlODY0ZTk5ZDJjYTQ4MTZjMjVlOTYzYzRkYTVjMWQifQ=="/>
    <w:docVar w:name="KSO_WPS_MARK_KEY" w:val="95c8753d-2771-4c96-abf8-130626f43825"/>
    <w:docVar w:name="NE.Ref{041FCF1D-31FB-48C3-9D36-6AE180D2ABFA}" w:val=" ADDIN NE.Ref.{041FCF1D-31FB-48C3-9D36-6AE180D2ABFA}&lt;Citation&gt;&lt;Group&gt;&lt;References&gt;&lt;Item&gt;&lt;ID&gt;703&lt;/ID&gt;&lt;UID&gt;{69AB8B44-944E-4936-ACA6-F00CA83779FA}&lt;/UID&gt;&lt;Title&gt;Risk Factor and Treatment of Vaginal Intraepithelial Neoplasia After Hysterectomy  for Cervical Intraepithelial Neoplasia&lt;/Title&gt;&lt;Template&gt;Journal Article&lt;/Template&gt;&lt;Star&gt;0&lt;/Star&gt;&lt;Tag&gt;0&lt;/Tag&gt;&lt;Author&gt;Kim, J H; Kim, J; Kim, K; No, J H; Kim, Y B; Suh, D H&lt;/Author&gt;&lt;Year&gt;2022&lt;/Year&gt;&lt;Details&gt;&lt;_accession_num&gt;35238809&lt;/_accession_num&gt;&lt;_author_adr&gt;Department of Obstetrics and Gynecology, CHA Gangnam Medical Center, CHA  University School of Medicine, Seoul, Republic of Korea.; Department of Obstetrics and Gynecology, Ujeongbu Eulji Medical Center, Eulji  University School of Medicine, Gyeonggi-do, Republic of Korea.; Department of Obstetrics and Gynecology, Seoul National University Bundang  Hospital, Seongnam-si, Republic of Korea.; Department of Obstetrics and Gynecology, Seoul National University Bundang  Hospital, Seongnam-si, Republic of Korea.; Department of Obstetrics and Gynecology, Seoul National University Bundang  Hospital, Seongnam-si, Republic of Korea.; Department of Obstetrics and Gynecology, Seoul National University Bundang  Hospital, Seongnam-si, Republic of Korea.&lt;/_author_adr&gt;&lt;_date_display&gt;2022 Apr 1&lt;/_date_display&gt;&lt;_date&gt;2022-04-01&lt;/_date&gt;&lt;_doi&gt;10.1097/LGT.0000000000000664&lt;/_doi&gt;&lt;_isbn&gt;1526-0976 (Electronic); 1089-2591 (Print); 1089-2591 (Linking)&lt;/_isbn&gt;&lt;_issue&gt;2&lt;/_issue&gt;&lt;_journal&gt;J Low Genit Tract Dis&lt;/_journal&gt;&lt;_language&gt;eng&lt;/_language&gt;&lt;_ori_publication&gt;Copyright (c) 2022 The Author(s). Published by Wolters Kluwer Health, Inc. on _x000d__x000a_      behalf of the ASCCP.&lt;/_ori_publication&gt;&lt;_pages&gt;147-151&lt;/_pages&gt;&lt;_subject_headings&gt;*Carcinoma in Situ/pathology; Female; Humans; Hysterectomy; Middle Aged; Neoplasm Recurrence, Local; Retrospective Studies; Risk Factors; *Uterine Cervical Neoplasms/diagnosis; *Vaginal Neoplasms/pathology; *Uterine Cervical Dysplasia/pathology&lt;/_subject_headings&gt;&lt;_tertiary_title&gt;Journal of lower genital tract disease&lt;/_tertiary_title&gt;&lt;_type_work&gt;Journal Article&lt;/_type_work&gt;&lt;_url&gt;http://www.ncbi.nlm.nih.gov/entrez/query.fcgi?cmd=Retrieve&amp;amp;db=pubmed&amp;amp;dopt=Abstract&amp;amp;list_uids=35238809&amp;amp;query_hl=1&lt;/_url&gt;&lt;_volume&gt;26&lt;/_volume&gt;&lt;_created&gt;66000901&lt;/_created&gt;&lt;_modified&gt;66000901&lt;/_modified&gt;&lt;_db_updated&gt;PubMed&lt;/_db_updated&gt;&lt;_impact_factor&gt;   3.842&lt;/_impact_factor&gt;&lt;_social_category&gt;医学(4)&lt;/_social_category&gt;&lt;_collection_scope&gt;SCIE&lt;/_collection_scope&gt;&lt;/Details&gt;&lt;Extra&gt;&lt;DBUID&gt;{C3DDB144-B9A5-4BD3-B74E-FCFC25704025}&lt;/DBUID&gt;&lt;/Extra&gt;&lt;/Item&gt;&lt;/References&gt;&lt;/Group&gt;&lt;/Citation&gt;_x000a_"/>
    <w:docVar w:name="NE.Ref{09E7525C-B977-4682-B604-2B9F9B9B61D1}" w:val=" ADDIN NE.Ref.{09E7525C-B977-4682-B604-2B9F9B9B61D1}&lt;Citation&gt;&lt;Group&gt;&lt;References&gt;&lt;Item&gt;&lt;ID&gt;694&lt;/ID&gt;&lt;UID&gt;{777D503F-536A-4998-AA81-A4FC658F4A80}&lt;/UID&gt;&lt;Title&gt;1 137例男性HPV基因分型感染情况分析&lt;/Title&gt;&lt;Template&gt;Journal Article&lt;/Template&gt;&lt;Star&gt;0&lt;/Star&gt;&lt;Tag&gt;0&lt;/Tag&gt;&lt;Author/&gt;&lt;Year&gt;0&lt;/Year&gt;&lt;Details&gt;&lt;_language&gt;Chinese&lt;/_language&gt;&lt;_created&gt;66000857&lt;/_created&gt;&lt;_modified&gt;66000857&lt;/_modified&gt;&lt;_accessed&gt;66000857&lt;/_accessed&gt;&lt;/Details&gt;&lt;Extra&gt;&lt;DBUID&gt;{C3DDB144-B9A5-4BD3-B74E-FCFC25704025}&lt;/DBUID&gt;&lt;/Extra&gt;&lt;/Item&gt;&lt;/References&gt;&lt;/Group&gt;&lt;/Citation&gt;_x000a_"/>
    <w:docVar w:name="NE.Ref{0A83C24D-8C4A-44B1-8A97-7324FC90C3D2}" w:val=" ADDIN NE.Ref.{0A83C24D-8C4A-44B1-8A97-7324FC90C3D2}&lt;Citation&gt;&lt;Group&gt;&lt;References&gt;&lt;Item&gt;&lt;ID&gt;685&lt;/ID&gt;&lt;UID&gt;{154E909C-A26B-455F-B8C7-F15B9423CF8E}&lt;/UID&gt;&lt;Title&gt;&amp;quot;I feel reassured, but there is no guarantee.&amp;quot; How do women with a future  childbearing desire respond to active surveillance of cervical intraepithelial  neoplasia grade 2? A qualitative study&lt;/Title&gt;&lt;Template&gt;Journal Article&lt;/Template&gt;&lt;Star&gt;0&lt;/Star&gt;&lt;Tag&gt;0&lt;/Tag&gt;&lt;Author&gt;Hansen, J; Kirkegaard, P; Folmann, B; Bungum, H F; Hammer, A&lt;/Author&gt;&lt;Year&gt;2022&lt;/Year&gt;&lt;Details&gt;&lt;_accession_num&gt;35383881&lt;/_accession_num&gt;&lt;_author_adr&gt;Godstrup Hospital, NIDO Denmark, Godstrup, Denmark.; Department of Public Health Programs, University Research Clinic for Cancer  Screening, Randers Regional Hospital, Randers, Denmark.; Godstrup Hospital, NIDO Denmark, Godstrup, Denmark.; University College South Denmark, Kolding, Denmark.; Godstrup Hospital, NIDO Denmark, Godstrup, Denmark.; Godstrup Hospital, NIDO Denmark, Godstrup, Denmark.; Department of Clinical Medicine, Aarhus University, Aarhus, Denmark.&lt;/_author_adr&gt;&lt;_date_display&gt;2022 Jun&lt;/_date_display&gt;&lt;_date&gt;2022-06-01&lt;/_date&gt;&lt;_doi&gt;10.1111/aogs.14354&lt;/_doi&gt;&lt;_isbn&gt;1600-0412 (Electronic); 0001-6349 (Print); 0001-6349 (Linking)&lt;/_isbn&gt;&lt;_issue&gt;6&lt;/_issue&gt;&lt;_journal&gt;Acta Obstet Gynecol Scand&lt;/_journal&gt;&lt;_keywords&gt;active surveillance; cervical cancer prevention; cervical intraepithelial neoplasia; decision aid; family planning; young women&lt;/_keywords&gt;&lt;_language&gt;eng&lt;/_language&gt;&lt;_ori_publication&gt;(c) 2022 The Authors. Acta Obstetricia et Gynecologica Scandinavica published by _x000d__x000a_      John Wiley &amp;amp; Sons Ltd on behalf of Nordic Federation of Societies of Obstetrics _x000d__x000a_      and Gynecology (NFOG).&lt;/_ori_publication&gt;&lt;_pages&gt;616-623&lt;/_pages&gt;&lt;_subject_headings&gt;Colposcopy; Emotions; Female; Humans; Infant; *Papillomavirus Infections/diagnosis; Pregnancy; *Uterine Cervical Dysplasia/pathology; *Uterine Cervical Neoplasms/pathology; Watchful Waiting&lt;/_subject_headings&gt;&lt;_tertiary_title&gt;Acta obstetricia et gynecologica Scandinavica&lt;/_tertiary_title&gt;&lt;_type_work&gt;Journal Article&lt;/_type_work&gt;&lt;_url&gt;http://www.ncbi.nlm.nih.gov/entrez/query.fcgi?cmd=Retrieve&amp;amp;db=pubmed&amp;amp;dopt=Abstract&amp;amp;list_uids=35383881&amp;amp;query_hl=1&lt;/_url&gt;&lt;_volume&gt;101&lt;/_volume&gt;&lt;_created&gt;65681135&lt;/_created&gt;&lt;_modified&gt;65681135&lt;/_modified&gt;&lt;_db_updated&gt;PubMed&lt;/_db_updated&gt;&lt;_impact_factor&gt;   4.544&lt;/_impact_factor&gt;&lt;_social_category&gt;医学(3)&lt;/_social_category&gt;&lt;_collection_scope&gt;SCIE&lt;/_collection_scope&gt;&lt;/Details&gt;&lt;Extra&gt;&lt;DBUID&gt;{C3DDB144-B9A5-4BD3-B74E-FCFC25704025}&lt;/DBUID&gt;&lt;/Extra&gt;&lt;/Item&gt;&lt;/References&gt;&lt;/Group&gt;&lt;/Citation&gt;_x000a_"/>
    <w:docVar w:name="NE.Ref{16714970-16C3-485E-9D52-F000C69E1137}" w:val=" ADDIN NE.Ref.{16714970-16C3-485E-9D52-F000C69E1137}&lt;Citation&gt;&lt;Group&gt;&lt;References&gt;&lt;Item&gt;&lt;ID&gt;674&lt;/ID&gt;&lt;UID&gt;{69B8594E-5830-4BD7-B677-8AD132B73323}&lt;/UID&gt;&lt;Title&gt;Burden of CIN2+ diagnoses and conizations in women aged 18-45 years-a  retrospective secondary data analysis of German statutory health insurance claims  data&lt;/Title&gt;&lt;Template&gt;Journal Article&lt;/Template&gt;&lt;Star&gt;0&lt;/Star&gt;&lt;Tag&gt;0&lt;/Tag&gt;&lt;Author&gt;Reuschenbach, M; Stephan, A J; Saxena, K; Prabhu, V S; Jacob, C; Schneider, K M; Greiner, W; Wolle, R; Hampl, M&lt;/Author&gt;&lt;Year&gt;2022&lt;/Year&gt;&lt;Details&gt;&lt;_accession_num&gt;35420356&lt;/_accession_num&gt;&lt;_author_adr&gt;Global Medical and Scientific Affairs, MSD Sharp &amp;amp; Dohme GmbH, Levelingstr. 4a,  81673, Munich, Germany. miriam.reuschenbach@msd.de.; Department of Market Access, MSD Sharp &amp;amp; Dohme GmbH, Munich, Germany.; Center for Observational and Real-World Evidence (CORE), Merck &amp;amp; Co., Inc.,  Kenilworth, NJ, USA.; Center for Observational and Real-World Evidence (CORE), Merck &amp;amp; Co., Inc.,  Kenilworth, NJ, USA.; EU Real World Evidence, Xcenda GmbH, Hanover, Germany.; EU Real World Evidence, Xcenda GmbH, Hanover, Germany.; Department of Health Economics and Health Care Management, Bielefeld School of  Public Health, Bielefeld University, Bielefeld, Germany.; Department of Market Access, MSD Sharp &amp;amp; Dohme GmbH, Munich, Germany.; Department of Gynecology, University of Duesseldorf, Duesseldorf, Germany.&lt;/_author_adr&gt;&lt;_date_display&gt;2022 Dec&lt;/_date_display&gt;&lt;_date&gt;2022-12-01&lt;/_date&gt;&lt;_doi&gt;10.1007/s00404-022-06548-7&lt;/_doi&gt;&lt;_isbn&gt;1432-0711 (Electronic); 0932-0067 (Print); 0932-0067 (Linking)&lt;/_isbn&gt;&lt;_issue&gt;6&lt;/_issue&gt;&lt;_journal&gt;Arch Gynecol Obstet&lt;/_journal&gt;&lt;_keywords&gt;Cervical cancer screening; Cervical conization; Cervical intraepithelial neoplasia (CIN); Claims data analysis; Germany; HPV&lt;/_keywords&gt;&lt;_language&gt;eng&lt;/_language&gt;&lt;_ori_publication&gt;(c) 2022. The Author(s).&lt;/_ori_publication&gt;&lt;_pages&gt;2077-2092&lt;/_pages&gt;&lt;_subject_headings&gt;Female; Humans; Conization; Retrospective Studies; Data Analysis; *Papillomavirus Infections; *Uterine Cervical Neoplasms/diagnosis/epidemiology/surgery; Insurance, Health; Papillomaviridae&lt;/_subject_headings&gt;&lt;_tertiary_title&gt;Archives of gynecology and obstetrics&lt;/_tertiary_title&gt;&lt;_type_work&gt;Journal Article; Research Support, Non-U.S. Gov&amp;apos;t&lt;/_type_work&gt;&lt;_url&gt;http://www.ncbi.nlm.nih.gov/entrez/query.fcgi?cmd=Retrieve&amp;amp;db=pubmed&amp;amp;dopt=Abstract&amp;amp;list_uids=35420356&amp;amp;query_hl=1&lt;/_url&gt;&lt;_volume&gt;306&lt;/_volume&gt;&lt;_created&gt;65681109&lt;/_created&gt;&lt;_modified&gt;65681109&lt;/_modified&gt;&lt;_db_updated&gt;PubMed&lt;/_db_updated&gt;&lt;_impact_factor&gt;   2.493&lt;/_impact_factor&gt;&lt;_social_category&gt;医学(4)&lt;/_social_category&gt;&lt;_collection_scope&gt;SCIE&lt;/_collection_scope&gt;&lt;/Details&gt;&lt;Extra&gt;&lt;DBUID&gt;{C3DDB144-B9A5-4BD3-B74E-FCFC25704025}&lt;/DBUID&gt;&lt;/Extra&gt;&lt;/Item&gt;&lt;/References&gt;&lt;/Group&gt;&lt;/Citation&gt;_x000a_"/>
    <w:docVar w:name="NE.Ref{20EFB429-BF4C-4386-AB7F-21CACF05D411}" w:val=" ADDIN NE.Ref.{20EFB429-BF4C-4386-AB7F-21CACF05D411}&lt;Citation&gt;&lt;Group&gt;&lt;References&gt;&lt;Item&gt;&lt;ID&gt;683&lt;/ID&gt;&lt;UID&gt;{53A88068-B1C5-4F35-90C1-AF1BF7E9AA48}&lt;/UID&gt;&lt;Title&gt;Clinical course of untreated cervical intraepithelial neoplasia grade 2 under  active surveillance: systematic review and meta-analysis&lt;/Title&gt;&lt;Template&gt;Journal Article&lt;/Template&gt;&lt;Star&gt;0&lt;/Star&gt;&lt;Tag&gt;0&lt;/Tag&gt;&lt;Author&gt;Tainio, K; Athanasiou, A; Tikkinen, KAO; Aaltonen, R; Cardenas, J; Hernandes; Glazer-Livson, S; Jakobsson, M; Joronen, K; Kiviharju, M; Louvanto, K; Oksjoki, S; Tahtinen, R; Virtanen, S; Nieminen, P; Kyrgiou, M; Kalliala, I&lt;/Author&gt;&lt;Year&gt;2018&lt;/Year&gt;&lt;Details&gt;&lt;_accession_num&gt;29487049&lt;/_accession_num&gt;&lt;_author_adr&gt;Department of Obstetrics and Gynaecology, University of Helsinki and Helsinki  University Hospital, Helsinki, Finland.; Department of Obstetrics and Gynaecology, University Hospital of Ioannina,  Ioannina, Greece.; Departments of Urology and Public Health, University of Helsinki and Helsinki  University Hospital, Helsinki, Finland.; Department of Obstetrics and Gynaecology, Turku University Hospital and  University of Turku, Turku, Finland.; National Center for Health Technology Excellence (CENETEC) Direction of Health  Technologies assessment, Mexico City, Mexico.; Department of Obstetrics and Gynaecology, University of Helsinki and Helsinki  University Hospital, Helsinki, Finland.; Department of Obstetrics and Gynaecology, University of Helsinki and Helsinki  University Hospital, Helsinki, Finland.; Department of Obstetrics and Gynaecology, Turku University Hospital and  University of Turku, Turku, Finland.; Department of Obstetrics and Gynaecology, University of Helsinki and Helsinki  University Hospital, Helsinki, Finland.; Department of Obstetrics and Gynaecology, University of Helsinki and Helsinki  University Hospital, Helsinki, Finland.; Wolfson Institute of Preventive Medicine, Queen Mary University of London,  London, UK.; Department of Obstetrics and Gynaecology, Turku University Hospital and  University of Turku, Turku, Finland.; Department of Obstetrics and Gynaecology, Kuopio University Hospital, Kuopio,  Finland.; Department of Obstetrics and Gynaecology, University of Helsinki and Helsinki  University Hospital, Helsinki, Finland.; Department of Obstetrics and Gynaecology, University of Helsinki and Helsinki  University Hospital, Helsinki, Finland.; Institute of Reproduction and Developmental Biology, Department of Surgery &amp;amp;  Cancer, Imperial College, London W12 0NN, UK m.kyrgiou@imperial.ac.uk.; West London Gynaecological Cancer Center, Queen Charlotte&amp;apos;s &amp;amp; Chelsea-Hammersmith  Hospital, Imperial Healthcare NHS Trust, London, UK.; Department of Obstetrics and Gynaecology, University of Helsinki and Helsinki  University Hospital, Helsinki, Finland.; Institute of Reproduction and Developmental Biology, Department of Surgery &amp;amp;  Cancer, Imperial College, London W12 0NN, UK.&lt;/_author_adr&gt;&lt;_date_display&gt;2018 Feb 27&lt;/_date_display&gt;&lt;_date&gt;2018-02-27&lt;/_date&gt;&lt;_doi&gt;10.1136/bmj.k499&lt;/_doi&gt;&lt;_isbn&gt;1756-1833 (Electronic); 0959-8138 (Print); 0959-8138 (Linking)&lt;/_isbn&gt;&lt;_journal&gt;BMJ&lt;/_journal&gt;&lt;_language&gt;eng&lt;/_language&gt;&lt;_ori_publication&gt;Published by the BMJ Publishing Group Limited. For permission to use (where not _x000d__x000a_      already granted under a licence) please go to _x000d__x000a_      http://group.bmj.com/group/rights-licensing/permissions.&lt;/_ori_publication&gt;&lt;_pages&gt;k499&lt;/_pages&gt;&lt;_subject_headings&gt;*Conservative Treatment; Disease Progression; Female; Humans; Neoplasm Grading; Uterine Cervical Dysplasia/*pathology/*therapy&lt;/_subject_headings&gt;&lt;_tertiary_title&gt;BMJ (Clinical research ed.)&lt;/_tertiary_title&gt;&lt;_type_work&gt;Journal Article; Meta-Analysis; Research Support, Non-U.S. Gov&amp;apos;t; Review; Systematic Review&lt;/_type_work&gt;&lt;_url&gt;http://www.ncbi.nlm.nih.gov/entrez/query.fcgi?cmd=Retrieve&amp;amp;db=pubmed&amp;amp;dopt=Abstract&amp;amp;list_uids=29487049&amp;amp;query_hl=1&lt;/_url&gt;&lt;_volume&gt;360&lt;/_volume&gt;&lt;_created&gt;65681131&lt;/_created&gt;&lt;_modified&gt;65681132&lt;/_modified&gt;&lt;_db_updated&gt;PubMed&lt;/_db_updated&gt;&lt;_impact_factor&gt;  93.333&lt;/_impact_factor&gt;&lt;_collection_scope&gt;SCIE&lt;/_collection_scope&gt;&lt;/Details&gt;&lt;Extra&gt;&lt;DBUID&gt;{C3DDB144-B9A5-4BD3-B74E-FCFC25704025}&lt;/DBUID&gt;&lt;/Extra&gt;&lt;/Item&gt;&lt;/References&gt;&lt;/Group&gt;&lt;/Citation&gt;_x000a_"/>
    <w:docVar w:name="NE.Ref{2BDFF393-68FD-473A-9E90-C9FE0B5C3D16}" w:val=" ADDIN NE.Ref.{2BDFF393-68FD-473A-9E90-C9FE0B5C3D16}&lt;Citation&gt;&lt;Group&gt;&lt;References&gt;&lt;Item&gt;&lt;ID&gt;680&lt;/ID&gt;&lt;UID&gt;{35C51B41-A4E5-468B-B6BA-3B306CC56E64}&lt;/UID&gt;&lt;Title&gt;宫颈上皮内病变2级患者宫颈冷冻治疗效果:106例1年随访结果&lt;/Title&gt;&lt;Template&gt;Journal Article&lt;/Template&gt;&lt;Star&gt;0&lt;/Star&gt;&lt;Tag&gt;0&lt;/Tag&gt;&lt;Author&gt;游珂; 郭艳利; 耿力; 乔杰&lt;/Author&gt;&lt;Year&gt;2022&lt;/Year&gt;&lt;Details&gt;&lt;_author_adr&gt;北京大学第三医院&lt;/_author_adr&gt;&lt;_author_aff&gt;北京大学第三医院&lt;/_author_aff&gt;&lt;_db_provider&gt;北京万方数据股份有限公司&lt;/_db_provider&gt;&lt;_doi&gt;10.3969/j.issn.1009-6604.2022.10.002&lt;/_doi&gt;&lt;_isbn&gt;1009-6604&lt;/_isbn&gt;&lt;_issue&gt;10&lt;/_issue&gt;&lt;_journal&gt;中国微创外科杂志&lt;/_journal&gt;&lt;_keywords&gt;宫颈病变; 冷冻治疗; 人乳头瘤病毒&lt;/_keywords&gt;&lt;_language&gt;chi&lt;/_language&gt;&lt;_pages&gt;779-782&lt;/_pages&gt;&lt;_tertiary_title&gt;Chinese Journal of Minimally Invasive Surgery&lt;/_tertiary_title&gt;&lt;_translated_author&gt;Ke, You; Yanli, Guo; Li, Geng&lt;/_translated_author&gt;&lt;_translated_title&gt;Cryotherapy for Cervical Intraepithelial Lesion 2 (CIN2):One Year Follow-up of 106 Patients&lt;/_translated_title&gt;&lt;_url&gt;https://d.wanfangdata.com.cn/periodical/Ch9QZXJpb2RpY2FsQ0hJTmV3UzIwMjQxMTA1MTcxMzA0EhV6aG9uZ2d3Y3drenoyMDIyMTAwMDIaCG5wd3I4amJq&lt;/_url&gt;&lt;_volume&gt;22&lt;/_volume&gt;&lt;_created&gt;65681122&lt;/_created&gt;&lt;_modified&gt;65681122&lt;/_modified&gt;&lt;_db_updated&gt;Wanfangdata&lt;/_db_updated&gt;&lt;_collection_scope&gt;CSCD;PKU&lt;/_collection_scope&gt;&lt;/Details&gt;&lt;Extra&gt;&lt;DBUID&gt;{C3DDB144-B9A5-4BD3-B74E-FCFC25704025}&lt;/DBUID&gt;&lt;/Extra&gt;&lt;/Item&gt;&lt;/References&gt;&lt;/Group&gt;&lt;/Citation&gt;_x000a_"/>
    <w:docVar w:name="NE.Ref{33F954A9-6177-4DA6-9FBF-B0FA664BA40A}" w:val=" ADDIN NE.Ref.{33F954A9-6177-4DA6-9FBF-B0FA664BA40A}&lt;Citation&gt;&lt;Group&gt;&lt;References&gt;&lt;Item&gt;&lt;ID&gt;687&lt;/ID&gt;&lt;UID&gt;{997AF2C3-F9F4-47E8-8B37-7AADB9BEAB54}&lt;/UID&gt;&lt;Title&gt;Conservative management of CIN2 p16 positive lesions in women with multiple HPV  infection&lt;/Title&gt;&lt;Template&gt;Journal Article&lt;/Template&gt;&lt;Star&gt;0&lt;/Star&gt;&lt;Tag&gt;0&lt;/Tag&gt;&lt;Author&gt;Bruno, M T; Scalia, G; Cassaro, N; Costanzo, M; Boemi, S&lt;/Author&gt;&lt;Year&gt;2020&lt;/Year&gt;&lt;Details&gt;&lt;_accession_num&gt;33121447&lt;/_accession_num&gt;&lt;_author_adr&gt;Department of General Surgery and Medical Surgery Specialties, Gynecological  Clinic, University of Catania, Catania, Italy. mt.bruno@unict.it.; Department of Biomedical and Biotechnological Sciences, Clinical Virology,  University of Catania, Catania, Italy.; Gynecological Oncology, Humanitas, Catania, Italy.; Department of Biomedical and Biotechnological Sciences, Clinical Virology,  University of Catania, Catania, Italy.; Department of General Surgery and Medical Surgery Specialties, Gynecological  Clinic, University of Catania, Catania, Italy.&lt;/_author_adr&gt;&lt;_collection_scope&gt;SCIE&lt;/_collection_scope&gt;&lt;_created&gt;65681149&lt;/_created&gt;&lt;_date&gt;2020-10-29&lt;/_date&gt;&lt;_date_display&gt;2020 Oct 29&lt;/_date_display&gt;&lt;_db_updated&gt;PubMed&lt;/_db_updated&gt;&lt;_doi&gt;10.1186/s12879-020-05530-5&lt;/_doi&gt;&lt;_impact_factor&gt;   3.667&lt;/_impact_factor&gt;&lt;_isbn&gt;1471-2334 (Electronic); 1471-2334 (Linking)&lt;/_isbn&gt;&lt;_issue&gt;1&lt;/_issue&gt;&lt;_journal&gt;BMC Infect Dis&lt;/_journal&gt;&lt;_keywords&gt;CIN2; Colposcopy; HPV infection; LEEP; Laser-therapy; Multiple HPV infection; p16 protein&lt;/_keywords&gt;&lt;_language&gt;eng&lt;/_language&gt;&lt;_modified&gt;66000828&lt;/_modified&gt;&lt;_pages&gt;801&lt;/_pages&gt;&lt;_social_category&gt;医学(3)&lt;/_social_category&gt;&lt;_subject_headings&gt;Adult; Colposcopy; Conservative Treatment/*methods; Cyclin-Dependent Kinase Inhibitor p16/immunology/*metabolism; Disease Progression; Female; Follow-Up Studies; Genotype; Humans; Immunohistochemistry; Laser Therapy; Papillomaviridae/*genetics; Papillomavirus Infections/*complications/virology; Retrospective Studies; Treatment Outcome; Uterine Cervical Neoplasms/*complications/*therapy/virology; Uterine Cervical Dysplasia/*complications/*therapy/virology&lt;/_subject_headings&gt;&lt;_tertiary_title&gt;BMC infectious diseases&lt;/_tertiary_title&gt;&lt;_type_work&gt;Journal Article&lt;/_type_work&gt;&lt;_url&gt;http://www.ncbi.nlm.nih.gov/entrez/query.fcgi?cmd=Retrieve&amp;amp;db=pubmed&amp;amp;dopt=Abstract&amp;amp;list_uids=33121447&amp;amp;query_hl=1&lt;/_url&gt;&lt;_volume&gt;20&lt;/_volume&gt;&lt;/Details&gt;&lt;Extra&gt;&lt;DBUID&gt;{C3DDB144-B9A5-4BD3-B74E-FCFC25704025}&lt;/DBUID&gt;&lt;/Extra&gt;&lt;/Item&gt;&lt;/References&gt;&lt;/Group&gt;&lt;/Citation&gt;_x000a_"/>
    <w:docVar w:name="NE.Ref{3B5EA9E0-EDA7-41EE-BFD4-47DE501532EB}" w:val=" ADDIN NE.Ref.{3B5EA9E0-EDA7-41EE-BFD4-47DE501532EB}&lt;Citation&gt;&lt;Group&gt;&lt;References&gt;&lt;Item&gt;&lt;ID&gt;680&lt;/ID&gt;&lt;UID&gt;{35C51B41-A4E5-468B-B6BA-3B306CC56E64}&lt;/UID&gt;&lt;Title&gt;宫颈上皮内病变2级患者宫颈冷冻治疗效果:106例1年随访结果&lt;/Title&gt;&lt;Template&gt;Journal Article&lt;/Template&gt;&lt;Star&gt;0&lt;/Star&gt;&lt;Tag&gt;0&lt;/Tag&gt;&lt;Author&gt;游珂; 郭艳利; 耿力; 乔杰&lt;/Author&gt;&lt;Year&gt;2022&lt;/Year&gt;&lt;Details&gt;&lt;_author_adr&gt;北京大学第三医院&lt;/_author_adr&gt;&lt;_author_aff&gt;北京大学第三医院&lt;/_author_aff&gt;&lt;_collection_scope&gt;CSCD;PKU&lt;/_collection_scope&gt;&lt;_created&gt;65681122&lt;/_created&gt;&lt;_db_provider&gt;北京万方数据股份有限公司&lt;/_db_provider&gt;&lt;_db_updated&gt;Wanfangdata&lt;/_db_updated&gt;&lt;_doi&gt;10.3969/j.issn.1009-6604.2022.10.002&lt;/_doi&gt;&lt;_isbn&gt;1009-6604&lt;/_isbn&gt;&lt;_issue&gt;10&lt;/_issue&gt;&lt;_journal&gt;中国微创外科杂志&lt;/_journal&gt;&lt;_keywords&gt;宫颈病变; 冷冻治疗; 人乳头瘤病毒&lt;/_keywords&gt;&lt;_language&gt;chi&lt;/_language&gt;&lt;_modified&gt;65681122&lt;/_modified&gt;&lt;_pages&gt;779-782&lt;/_pages&gt;&lt;_tertiary_title&gt;Chinese Journal of Minimally Invasive Surgery&lt;/_tertiary_title&gt;&lt;_translated_author&gt;Ke, You; Yanli, Guo; Li, Geng&lt;/_translated_author&gt;&lt;_translated_title&gt;Cryotherapy for Cervical Intraepithelial Lesion 2 (CIN2):One Year Follow-up of 106 Patients&lt;/_translated_title&gt;&lt;_url&gt;https://d.wanfangdata.com.cn/periodical/Ch9QZXJpb2RpY2FsQ0hJTmV3UzIwMjQxMTA1MTcxMzA0EhV6aG9uZ2d3Y3drenoyMDIyMTAwMDIaCG5wd3I4amJq&lt;/_url&gt;&lt;_volume&gt;22&lt;/_volume&gt;&lt;/Details&gt;&lt;Extra&gt;&lt;DBUID&gt;{C3DDB144-B9A5-4BD3-B74E-FCFC25704025}&lt;/DBUID&gt;&lt;/Extra&gt;&lt;/Item&gt;&lt;/References&gt;&lt;/Group&gt;&lt;/Citation&gt;_x000a_"/>
    <w:docVar w:name="NE.Ref{4B46638B-5302-497F-818A-4F4F9B7A08A3}" w:val=" ADDIN NE.Ref.{4B46638B-5302-497F-818A-4F4F9B7A08A3}&lt;Citation&gt;&lt;Group&gt;&lt;References&gt;&lt;Item&gt;&lt;ID&gt;675&lt;/ID&gt;&lt;UID&gt;{8F76ADE9-184A-4188-9DAA-08A4B1BDE998}&lt;/UID&gt;&lt;Title&gt;Prevalence and distribution of human papillomavirus genotypes in Chinese women  between 1991 and 2016: A systematic review&lt;/Title&gt;&lt;Template&gt;Journal Article&lt;/Template&gt;&lt;Star&gt;0&lt;/Star&gt;&lt;Tag&gt;0&lt;/Tag&gt;&lt;Author&gt;Zhou, H L; Zhang, W; Zhang, C J; Wang, S M; Duan, Y C; Wang, J X; Yang, H; Wang, X Y&lt;/Author&gt;&lt;Year&gt;2018&lt;/Year&gt;&lt;Details&gt;&lt;_accession_num&gt;29477803&lt;/_accession_num&gt;&lt;_author_adr&gt;Key Laboratory Medical Molecular Virology, MoE/MoH, the Institutes of Biomedical  Sciences, Shanghai Medical College, Fudan University, Shanghai, 200032, People&amp;apos;s  Republic of China.; Library of Fudan University, Shanghai, 200032, People&amp;apos;s Republic of China.; Key Laboratory Medical Molecular Virology, MoE/MoH, the Institutes of Biomedical  Sciences, Shanghai Medical College, Fudan University, Shanghai, 200032, People&amp;apos;s  Republic of China.; Laboratory of Molecular Biology, Training Center of Medical Experiments, School  of Basic Medical Sciences, Fudan University, Shanghai, 200032, People&amp;apos;s Republic  of China.; Department of Gynecological Oncology, Shanghai Cancer Center, Fudan University,  Shanghai, 200032, People&amp;apos;s Republic of China.; Key Laboratory Medical Molecular Virology, MoE/MoH, the Institutes of Biomedical  Sciences, Shanghai Medical College, Fudan University, Shanghai, 200032, People&amp;apos;s  Republic of China.; Center for Drug Evaluation, China Food and Drug Administration, Beijing, 100038,  People&amp;apos;s Republic of China. Electronic address: yangh@cde.org.cn.; Key Laboratory Medical Molecular Virology, MoE/MoH, the Institutes of Biomedical  Sciences, Shanghai Medical College, Fudan University, Shanghai, 200032, People&amp;apos;s  Republic of China. Electronic address: xywang@shmu.edu.cn.&lt;/_author_adr&gt;&lt;_date_display&gt;2018 Jun&lt;/_date_display&gt;&lt;_date&gt;2018-06-01&lt;/_date&gt;&lt;_doi&gt;10.1016/j.jinf.2018.02.008&lt;/_doi&gt;&lt;_isbn&gt;1532-2742 (Electronic); 0163-4453 (Linking)&lt;/_isbn&gt;&lt;_issue&gt;6&lt;/_issue&gt;&lt;_journal&gt;J Infect&lt;/_journal&gt;&lt;_keywords&gt;China; Genotype; Human papillomavirus; Prevalence; Systematic review&lt;/_keywords&gt;&lt;_language&gt;eng&lt;/_language&gt;&lt;_ori_publication&gt;Copyright (c) 2018 The British Infection Association. Published by Elsevier Ltd. _x000d__x000a_      All rights reserved.&lt;/_ori_publication&gt;&lt;_pages&gt;522-528&lt;/_pages&gt;&lt;_subject_headings&gt;Adult; Age Factors; China/epidemiology; Early Detection of Cancer/statistics &amp;amp; numerical data; Female; *Genotype; Human papillomavirus 16/genetics; Humans; Middle Aged; Papillomaviridae/*genetics; Papillomavirus Infections/*epidemiology; Papillomavirus Vaccines; Prevalence; Uterine Cervical Neoplasms/*epidemiology/virology; Uterine Cervical Dysplasia/*epidemiology/virology&lt;/_subject_headings&gt;&lt;_tertiary_title&gt;The Journal of infection&lt;/_tertiary_title&gt;&lt;_type_work&gt;Journal Article; Systematic Review&lt;/_type_work&gt;&lt;_url&gt;http://www.ncbi.nlm.nih.gov/entrez/query.fcgi?cmd=Retrieve&amp;amp;db=pubmed&amp;amp;dopt=Abstract&amp;amp;list_uids=29477803&amp;amp;query_hl=1&lt;/_url&gt;&lt;_volume&gt;76&lt;/_volume&gt;&lt;_created&gt;65681112&lt;/_created&gt;&lt;_modified&gt;65681112&lt;/_modified&gt;&lt;_db_updated&gt;PubMed&lt;/_db_updated&gt;&lt;_impact_factor&gt;  38.637&lt;/_impact_factor&gt;&lt;_social_category&gt;医学(2)&lt;/_social_category&gt;&lt;_collection_scope&gt;SCIE&lt;/_collection_scope&gt;&lt;/Details&gt;&lt;Extra&gt;&lt;DBUID&gt;{C3DDB144-B9A5-4BD3-B74E-FCFC25704025}&lt;/DBUID&gt;&lt;/Extra&gt;&lt;/Item&gt;&lt;/References&gt;&lt;/Group&gt;&lt;/Citation&gt;_x000a_"/>
    <w:docVar w:name="NE.Ref{51A664AD-648E-401C-B44C-69AA4B0AA11A}" w:val=" ADDIN NE.Ref.{51A664AD-648E-401C-B44C-69AA4B0AA11A}&lt;Citation&gt;&lt;Group&gt;&lt;References&gt;&lt;Item&gt;&lt;ID&gt;688&lt;/ID&gt;&lt;UID&gt;{4B81349A-2ED0-4699-A38F-7A78BAC1B373}&lt;/UID&gt;&lt;Title&gt;Incomplete excision of cervical precancer as a predictor of treatment failure: a  systematic review and meta-analysis&lt;/Title&gt;&lt;Template&gt;Journal Article&lt;/Template&gt;&lt;Star&gt;0&lt;/Star&gt;&lt;Tag&gt;0&lt;/Tag&gt;&lt;Author&gt;Arbyn, M; Redman, CWE; Verdoodt, F; Kyrgiou, M; Tzafetas, M; Ghaem-Maghami, S; Petry, K U; Leeson, S; Bergeron, C; Nieminen, P; Gondry, J; Reich, O; Moss, E L&lt;/Author&gt;&lt;Year&gt;2017&lt;/Year&gt;&lt;Details&gt;&lt;_accession_num&gt;29126708&lt;/_accession_num&gt;&lt;_author_adr&gt;Unit of Cancer Epidemiology, Belgian Cancer Centre, Scientific Institute of  Public Health, Brussels, Belgium. Electronic address: marc.arbyn@wiv-isp.be.; University Hospitals of North Midlands, Stoke-on-Trent, UK.; Unit of Virus, Lifestyle and Genes, Danish Cancer Society Research Center,  Copenhagen, Denmark.; Division of Reproductive Biology, Department Cancer and Surgery, Imperial  College, London, UK.; Division of Reproductive Biology, Department Cancer and Surgery, Imperial  College, London, UK.; Division of Reproductive Biology, Department Cancer and Surgery, Imperial  College, London, UK.; Department of Gynaecology and Obstetrics, Klinikum Wolfsburg, Wolfsburg, Germany.; Department of Gynaecology and Obstetrics, Betsi Cadwaladr University Health  Board, Bangor, Gwyndd, UK.; Laboratoire Cerba, Cergy, France.; Department of Gynaecology and Obstetrics, Helsinki University Hospital, Helsinki,  Finland.; Service de gynecologie et obstetrique, CHU d&amp;apos;Amiens-Picardie, Amiens, France.; Department of Gynaecology and Obstetrics, Medical University of Graz, Graz,  Austria.; Department of Cancer Studies, University of Leicester, Leicester, UK.&lt;/_author_adr&gt;&lt;_date_display&gt;2017 Dec&lt;/_date_display&gt;&lt;_date&gt;2017-12-01&lt;/_date&gt;&lt;_doi&gt;10.1016/S1470-2045(17)30700-3&lt;/_doi&gt;&lt;_isbn&gt;1474-5488 (Electronic); 1470-2045 (Linking)&lt;/_isbn&gt;&lt;_issue&gt;12&lt;/_issue&gt;&lt;_journal&gt;Lancet Oncol&lt;/_journal&gt;&lt;_language&gt;eng&lt;/_language&gt;&lt;_ori_publication&gt;Copyright (c) 2017 Elsevier Ltd. All rights reserved.&lt;/_ori_publication&gt;&lt;_pages&gt;1665-1679&lt;/_pages&gt;&lt;_subject_headings&gt;Adult; Aged; Female; Humans; *Margins of Excision; Middle Aged; Neoplasm Recurrence, Local/*mortality/pathology; Neoplasm, Residual/mortality/*pathology; Precancerous Conditions/pathology/surgery; Predictive Value of Tests; Prognosis; *Quality Indicators, Health Care; Risk Assessment; Survival Analysis; Treatment Failure; Uterine Cervical Neoplasms/mortality/pathology/*surgery; Uterine Cervical Dysplasia/mortality/pathology/*surgery&lt;/_subject_headings&gt;&lt;_tertiary_title&gt;The Lancet. Oncology&lt;/_tertiary_title&gt;&lt;_type_work&gt;Journal Article; Meta-Analysis; Review; Systematic Review&lt;/_type_work&gt;&lt;_url&gt;http://www.ncbi.nlm.nih.gov/entrez/query.fcgi?cmd=Retrieve&amp;amp;db=pubmed&amp;amp;dopt=Abstract&amp;amp;list_uids=29126708&amp;amp;query_hl=1&lt;/_url&gt;&lt;_volume&gt;18&lt;/_volume&gt;&lt;_created&gt;65681153&lt;/_created&gt;&lt;_modified&gt;65681153&lt;/_modified&gt;&lt;_db_updated&gt;PubMed&lt;/_db_updated&gt;&lt;_impact_factor&gt;  54.433&lt;/_impact_factor&gt;&lt;_social_category&gt;医学(1)&lt;/_social_category&gt;&lt;_collection_scope&gt;SCIE&lt;/_collection_scope&gt;&lt;/Details&gt;&lt;Extra&gt;&lt;DBUID&gt;{C3DDB144-B9A5-4BD3-B74E-FCFC25704025}&lt;/DBUID&gt;&lt;/Extra&gt;&lt;/Item&gt;&lt;/References&gt;&lt;/Group&gt;&lt;/Citation&gt;_x000a_"/>
    <w:docVar w:name="NE.Ref{53E23DEC-55B3-413A-8110-E177AB805026}" w:val=" ADDIN NE.Ref.{53E23DEC-55B3-413A-8110-E177AB805026}&lt;Citation&gt;&lt;Group&gt;&lt;References&gt;&lt;Item&gt;&lt;ID&gt;690&lt;/ID&gt;&lt;UID&gt;{C76A1648-54B3-4681-8238-2610ECDCDB15}&lt;/UID&gt;&lt;Title&gt;Burden of CIN2+ diagnoses and conizations in women aged 18-45 years-a  retrospective secondary data analysis of German statutory health insurance claims  data&lt;/Title&gt;&lt;Template&gt;Journal Article&lt;/Template&gt;&lt;Star&gt;0&lt;/Star&gt;&lt;Tag&gt;0&lt;/Tag&gt;&lt;Author&gt;Reuschenbach, M; Stephan, A J; Saxena, K; Prabhu, V S; Jacob, C; Schneider, K M; Greiner, W; Wolle, R; Hampl, M&lt;/Author&gt;&lt;Year&gt;2022&lt;/Year&gt;&lt;Details&gt;&lt;_accession_num&gt;35420356&lt;/_accession_num&gt;&lt;_author_adr&gt;Global Medical and Scientific Affairs, MSD Sharp &amp;amp; Dohme GmbH, Levelingstr. 4a,  81673, Munich, Germany. miriam.reuschenbach@msd.de.; Department of Market Access, MSD Sharp &amp;amp; Dohme GmbH, Munich, Germany.; Center for Observational and Real-World Evidence (CORE), Merck &amp;amp; Co., Inc.,  Kenilworth, NJ, USA.; Center for Observational and Real-World Evidence (CORE), Merck &amp;amp; Co., Inc.,  Kenilworth, NJ, USA.; EU Real World Evidence, Xcenda GmbH, Hanover, Germany.; EU Real World Evidence, Xcenda GmbH, Hanover, Germany.; Department of Health Economics and Health Care Management, Bielefeld School of  Public Health, Bielefeld University, Bielefeld, Germany.; Department of Market Access, MSD Sharp &amp;amp; Dohme GmbH, Munich, Germany.; Department of Gynecology, University of Duesseldorf, Duesseldorf, Germany.&lt;/_author_adr&gt;&lt;_date_display&gt;2022 Dec&lt;/_date_display&gt;&lt;_date&gt;2022-12-01&lt;/_date&gt;&lt;_doi&gt;10.1007/s00404-022-06548-7&lt;/_doi&gt;&lt;_isbn&gt;1432-0711 (Electronic); 0932-0067 (Print); 0932-0067 (Linking)&lt;/_isbn&gt;&lt;_issue&gt;6&lt;/_issue&gt;&lt;_journal&gt;Arch Gynecol Obstet&lt;/_journal&gt;&lt;_keywords&gt;Cervical cancer screening; Cervical conization; Cervical intraepithelial neoplasia (CIN); Claims data analysis; Germany; HPV&lt;/_keywords&gt;&lt;_language&gt;eng&lt;/_language&gt;&lt;_ori_publication&gt;(c) 2022. The Author(s).&lt;/_ori_publication&gt;&lt;_pages&gt;2077-2092&lt;/_pages&gt;&lt;_subject_headings&gt;Female; Humans; Conization; Retrospective Studies; Data Analysis; *Papillomavirus Infections; *Uterine Cervical Neoplasms/diagnosis/epidemiology/surgery; Insurance, Health; Papillomaviridae&lt;/_subject_headings&gt;&lt;_tertiary_title&gt;Archives of gynecology and obstetrics&lt;/_tertiary_title&gt;&lt;_type_work&gt;Journal Article; Research Support, Non-U.S. Gov&amp;apos;t&lt;/_type_work&gt;&lt;_url&gt;http://www.ncbi.nlm.nih.gov/entrez/query.fcgi?cmd=Retrieve&amp;amp;db=pubmed&amp;amp;dopt=Abstract&amp;amp;list_uids=35420356&amp;amp;query_hl=1&lt;/_url&gt;&lt;_volume&gt;306&lt;/_volume&gt;&lt;_created&gt;65681156&lt;/_created&gt;&lt;_modified&gt;65681156&lt;/_modified&gt;&lt;_db_updated&gt;PubMed&lt;/_db_updated&gt;&lt;_impact_factor&gt;   2.493&lt;/_impact_factor&gt;&lt;_social_category&gt;医学(4)&lt;/_social_category&gt;&lt;_collection_scope&gt;SCIE&lt;/_collection_scope&gt;&lt;/Details&gt;&lt;Extra&gt;&lt;DBUID&gt;{C3DDB144-B9A5-4BD3-B74E-FCFC25704025}&lt;/DBUID&gt;&lt;/Extra&gt;&lt;/Item&gt;&lt;/References&gt;&lt;/Group&gt;&lt;/Citation&gt;_x000a_"/>
    <w:docVar w:name="NE.Ref{5DB54BB7-C648-4C44-8120-33003AA24F30}" w:val=" ADDIN NE.Ref.{5DB54BB7-C648-4C44-8120-33003AA24F30}&lt;Citation&gt;&lt;Group&gt;&lt;References&gt;&lt;Item&gt;&lt;ID&gt;678&lt;/ID&gt;&lt;UID&gt;{C75EF5CE-3F49-4840-9FAC-8E0AB08F8B66}&lt;/UID&gt;&lt;Title&gt;Outpatient treatment of cervical intra-epithelial neoplasia. The CO2 laser versus  cryotherapy, a randomized trial&lt;/Title&gt;&lt;Template&gt;Journal Article&lt;/Template&gt;&lt;Star&gt;0&lt;/Star&gt;&lt;Tag&gt;0&lt;/Tag&gt;&lt;Author&gt;Berget, A; Andreasson, B; Bock, J E; Bostofte, E; Hebjorn, S; Isager-Sally, L; Philipsen, T; Schantz, A; Weber, T&lt;/Author&gt;&lt;Year&gt;1987&lt;/Year&gt;&lt;Details&gt;&lt;_accession_num&gt;3321872&lt;/_accession_num&gt;&lt;_author_adr&gt;Department of Obstetrics and Gynaecology, University Hospital of Gentofte,  Denmark.&lt;/_author_adr&gt;&lt;_collection_scope&gt;SCIE&lt;/_collection_scope&gt;&lt;_created&gt;65681117&lt;/_created&gt;&lt;_date&gt;1987-01-19&lt;/_date&gt;&lt;_date_display&gt;1987&lt;/_date_display&gt;&lt;_db_updated&gt;PubMed&lt;/_db_updated&gt;&lt;_doi&gt;10.3109/00016348709015730&lt;/_doi&gt;&lt;_impact_factor&gt;   4.544&lt;/_impact_factor&gt;&lt;_isbn&gt;0001-6349 (Print); 0001-6349 (Linking)&lt;/_isbn&gt;&lt;_issue&gt;6&lt;/_issue&gt;&lt;_journal&gt;Acta Obstet Gynecol Scand&lt;/_journal&gt;&lt;_language&gt;eng&lt;/_language&gt;&lt;_modified&gt;65681117&lt;/_modified&gt;&lt;_pages&gt;531-6&lt;/_pages&gt;&lt;_social_category&gt;医学(3)&lt;/_social_category&gt;&lt;_subject_headings&gt;Adult; Ambulatory Care; Clinical Trials as Topic; Colposcopy; *Cryosurgery; Female; Follow-Up Studies; Humans; *Laser Therapy; Middle Aged; Postoperative Complications; Prospective Studies; Random Allocation; Uterine Cervical Neoplasms/*surgery; Uterine Hemorrhage/etiology&lt;/_subject_headings&gt;&lt;_tertiary_title&gt;Acta obstetricia et gynecologica Scandinavica&lt;/_tertiary_title&gt;&lt;_type_work&gt;Clinical Trial; Comparative Study; Journal Article; Randomized Controlled Trial&lt;/_type_work&gt;&lt;_url&gt;http://www.ncbi.nlm.nih.gov/entrez/query.fcgi?cmd=Retrieve&amp;amp;db=pubmed&amp;amp;dopt=Abstract&amp;amp;list_uids=3321872&amp;amp;query_hl=1&lt;/_url&gt;&lt;_volume&gt;66&lt;/_volume&gt;&lt;/Details&gt;&lt;Extra&gt;&lt;DBUID&gt;{C3DDB144-B9A5-4BD3-B74E-FCFC25704025}&lt;/DBUID&gt;&lt;/Extra&gt;&lt;/Item&gt;&lt;/References&gt;&lt;/Group&gt;&lt;/Citation&gt;_x000a_"/>
    <w:docVar w:name="NE.Ref{629ADE60-8770-49B8-A915-A5DFFA67FCEE}" w:val=" ADDIN NE.Ref.{629ADE60-8770-49B8-A915-A5DFFA67FCEE}&lt;Citation&gt;&lt;Group&gt;&lt;References&gt;&lt;Item&gt;&lt;ID&gt;517&lt;/ID&gt;&lt;UID&gt;{3A9D6F29-63CF-4445-A373-AF5145B250EA}&lt;/UID&gt;&lt;Title&gt;Comparison of Expectant and Excisional/Ablative Management of Cervical  Intraepithelial Neoplasia Grade 2 (CIN2) in the Era of HPV Testing&lt;/Title&gt;&lt;Template&gt;Journal Article&lt;/Template&gt;&lt;Star&gt;0&lt;/Star&gt;&lt;Tag&gt;0&lt;/Tag&gt;&lt;Author&gt;Tjandraprawira, K D; Olaitan, A; Petrie, A; Wilkinson, N; Rosenthal, A N&lt;/Author&gt;&lt;Year&gt;2022&lt;/Year&gt;&lt;Details&gt;&lt;_accession_num&gt;35371262&lt;/_accession_num&gt;&lt;_author_adr&gt;Elizabeth Garrett Anderson&amp;apos;s Institute for Women&amp;apos;s Health, University College  London, London, UK.; Department of Obstetrics and Gynaecology, Faculty of Medicine, Universitas  Padjadjaran, Bandung, Indonesia.; University College London Hospitals NHS Trust, London, UK.; Eastman Dental Institute, University College London, UK.; University College London Hospitals NHS Trust, London, UK.; Elizabeth Garrett Anderson&amp;apos;s Institute for Women&amp;apos;s Health, University College  London, London, UK.; University College London Hospitals NHS Trust, London, UK.&lt;/_author_adr&gt;&lt;_collection_scope&gt;ESCI&lt;/_collection_scope&gt;&lt;_created&gt;65997279&lt;/_created&gt;&lt;_date&gt;2022-01-20&lt;/_date&gt;&lt;_date_display&gt;2022&lt;/_date_display&gt;&lt;_db_updated&gt;PubMed&lt;/_db_updated&gt;&lt;_doi&gt;10.1155/2022/7955290&lt;/_doi&gt;&lt;_isbn&gt;1687-9589 (Print); 1687-9597 (Electronic); 1687-9597 (Linking)&lt;/_isbn&gt;&lt;_journal&gt;Obstet Gynecol Int&lt;/_journal&gt;&lt;_language&gt;eng&lt;/_language&gt;&lt;_modified&gt;65997280&lt;/_modified&gt;&lt;_ori_publication&gt;Copyright (c) 2022 Kevin Dominique Tjandraprawira et al.&lt;/_ori_publication&gt;&lt;_pages&gt;7955290&lt;/_pages&gt;&lt;_tertiary_title&gt;Obstetrics and gynecology international&lt;/_tertiary_title&gt;&lt;_type_work&gt;Journal Article&lt;/_type_work&gt;&lt;_url&gt;http://www.ncbi.nlm.nih.gov/entrez/query.fcgi?cmd=Retrieve&amp;amp;db=pubmed&amp;amp;dopt=Abstract&amp;amp;list_uids=35371262&amp;amp;query_hl=1&lt;/_url&gt;&lt;_volume&gt;2022&lt;/_volume&gt;&lt;/Details&gt;&lt;Extra/&gt;&lt;/Item&gt;&lt;/References&gt;&lt;/Group&gt;&lt;/Citation&gt;_x000a_"/>
    <w:docVar w:name="NE.Ref{6397BB4D-2FA3-4B77-82DA-C282F5932E67}" w:val=" ADDIN NE.Ref.{6397BB4D-2FA3-4B77-82DA-C282F5932E67}&lt;Citation&gt;&lt;Group&gt;&lt;References&gt;&lt;Item&gt;&lt;ID&gt;676&lt;/ID&gt;&lt;UID&gt;{95EF3963-CAD6-4631-9103-A95BAF735590}&lt;/UID&gt;&lt;Title&gt;Comparison of Expectant and Excisional/Ablative Management of Cervical  Intraepithelial Neoplasia Grade 2 (CIN2) in the Era of HPV Testing&lt;/Title&gt;&lt;Template&gt;Journal Article&lt;/Template&gt;&lt;Star&gt;0&lt;/Star&gt;&lt;Tag&gt;0&lt;/Tag&gt;&lt;Author&gt;Tjandraprawira, K D; Olaitan, A; Petrie, A; Wilkinson, N; Rosenthal, A N&lt;/Author&gt;&lt;Year&gt;2022&lt;/Year&gt;&lt;Details&gt;&lt;_accession_num&gt;35371262&lt;/_accession_num&gt;&lt;_author_adr&gt;Elizabeth Garrett Anderson&amp;apos;s Institute for Women&amp;apos;s Health, University College  London, London, UK.; Department of Obstetrics and Gynaecology, Faculty of Medicine, Universitas  Padjadjaran, Bandung, Indonesia.; University College London Hospitals NHS Trust, London, UK.; Eastman Dental Institute, University College London, UK.; University College London Hospitals NHS Trust, London, UK.; Elizabeth Garrett Anderson&amp;apos;s Institute for Women&amp;apos;s Health, University College  London, London, UK.; University College London Hospitals NHS Trust, London, UK.&lt;/_author_adr&gt;&lt;_collection_scope&gt;ESCI&lt;/_collection_scope&gt;&lt;_created&gt;65681113&lt;/_created&gt;&lt;_date&gt;2022-01-20&lt;/_date&gt;&lt;_date_display&gt;2022&lt;/_date_display&gt;&lt;_db_updated&gt;PubMed&lt;/_db_updated&gt;&lt;_doi&gt;10.1155/2022/7955290&lt;/_doi&gt;&lt;_isbn&gt;1687-9589 (Print); 1687-9597 (Electronic); 1687-9597 (Linking)&lt;/_isbn&gt;&lt;_journal&gt;Obstet Gynecol Int&lt;/_journal&gt;&lt;_language&gt;eng&lt;/_language&gt;&lt;_modified&gt;66000824&lt;/_modified&gt;&lt;_ori_publication&gt;Copyright (c) 2022 Kevin Dominique Tjandraprawira et al.&lt;/_ori_publication&gt;&lt;_pages&gt;7955290&lt;/_pages&gt;&lt;_tertiary_title&gt;Obstetrics and gynecology international&lt;/_tertiary_title&gt;&lt;_type_work&gt;Journal Article&lt;/_type_work&gt;&lt;_url&gt;http://www.ncbi.nlm.nih.gov/entrez/query.fcgi?cmd=Retrieve&amp;amp;db=pubmed&amp;amp;dopt=Abstract&amp;amp;list_uids=35371262&amp;amp;query_hl=1&lt;/_url&gt;&lt;_volume&gt;2022&lt;/_volume&gt;&lt;/Details&gt;&lt;Extra&gt;&lt;DBUID&gt;{C3DDB144-B9A5-4BD3-B74E-FCFC25704025}&lt;/DBUID&gt;&lt;/Extra&gt;&lt;/Item&gt;&lt;/References&gt;&lt;/Group&gt;&lt;Group&gt;&lt;References&gt;&lt;Item&gt;&lt;ID&gt;692&lt;/ID&gt;&lt;UID&gt;{AB3FE620-C19F-468B-AB99-6D3DA65603D2}&lt;/UID&gt;&lt;Title&gt;Efficacy, acceptability and safety of ablative versus excisional procedure in the  treatment of histologically confirmed CIN2/3: A systematic review&lt;/Title&gt;&lt;Template&gt;Journal Article&lt;/Template&gt;&lt;Star&gt;0&lt;/Star&gt;&lt;Tag&gt;0&lt;/Tag&gt;&lt;Author&gt;Zhang, L; Sauvaget, C; Mosquera, I; Basu, P&lt;/Author&gt;&lt;Year&gt;2023&lt;/Year&gt;&lt;Details&gt;&lt;_accession_num&gt;35689493&lt;/_accession_num&gt;&lt;_author_adr&gt;Early Detection, Prevention &amp;amp; Infections Branch, International Agency for  Research on Cancer, Lyon, France.; Early Detection, Prevention &amp;amp; Infections Branch, International Agency for  Research on Cancer, Lyon, France.; Early Detection, Prevention &amp;amp; Infections Branch, International Agency for  Research on Cancer, Lyon, France.; Early Detection, Prevention &amp;amp; Infections Branch, International Agency for  Research on Cancer, Lyon, France.&lt;/_author_adr&gt;&lt;_collection_scope&gt;SCIE&lt;/_collection_scope&gt;&lt;_created&gt;65681188&lt;/_created&gt;&lt;_date&gt;2023-01-01&lt;/_date&gt;&lt;_date_display&gt;2023 Jan&lt;/_date_display&gt;&lt;_db_updated&gt;PubMed&lt;/_db_updated&gt;&lt;_doi&gt;10.1111/1471-0528.17251&lt;/_doi&gt;&lt;_impact_factor&gt;   7.331&lt;/_impact_factor&gt;&lt;_isbn&gt;1471-0528 (Electronic); 1470-0328 (Linking)&lt;/_isbn&gt;&lt;_issue&gt;2&lt;/_issue&gt;&lt;_journal&gt;BJOG&lt;/_journal&gt;&lt;_keywords&gt;CIN2/3; ablation; efficacy; excision; systematic review; treatment&lt;/_keywords&gt;&lt;_language&gt;eng&lt;/_language&gt;&lt;_modified&gt;66000829&lt;/_modified&gt;&lt;_ori_publication&gt;(c) 2022 The World Health Organization. The World Health Organization retains _x000d__x000a_      copyright and all other rights in the manuscript of this article as submitted for _x000d__x000a_      publication.&lt;/_ori_publication&gt;&lt;_pages&gt;153-161&lt;/_pages&gt;&lt;_social_category&gt;医学(1)&lt;/_social_category&gt;&lt;_subject_headings&gt;Female; Humans; *Uterine Cervical Neoplasms/surgery/pathology; *HIV Infections; *Uterine Cervical Dysplasia/surgery/pathology&lt;/_subject_headings&gt;&lt;_tertiary_title&gt;BJOG : an international journal of obstetrics and gynaecology&lt;/_tertiary_title&gt;&lt;_type_work&gt;Journal Article; Review; Systematic Review&lt;/_type_work&gt;&lt;_url&gt;http://www.ncbi.nlm.nih.gov/entrez/query.fcgi?cmd=Retrieve&amp;amp;db=pubmed&amp;amp;dopt=Abstract&amp;amp;list_uids=35689493&amp;amp;query_hl=1&lt;/_url&gt;&lt;_volume&gt;130&lt;/_volume&gt;&lt;/Details&gt;&lt;Extra&gt;&lt;DBUID&gt;{C3DDB144-B9A5-4BD3-B74E-FCFC25704025}&lt;/DBUID&gt;&lt;/Extra&gt;&lt;/Item&gt;&lt;/References&gt;&lt;/Group&gt;&lt;/Citation&gt;_x000a_"/>
    <w:docVar w:name="NE.Ref{67E9EFEE-F576-42D5-A630-758EE8CF1D26}" w:val=" ADDIN NE.Ref.{67E9EFEE-F576-42D5-A630-758EE8CF1D26}&lt;Citation&gt;&lt;Group&gt;&lt;References&gt;&lt;Item&gt;&lt;ID&gt;517&lt;/ID&gt;&lt;UID&gt;{3A9D6F29-63CF-4445-A373-AF5145B250EA}&lt;/UID&gt;&lt;Title&gt;Comparison of Expectant and Excisional/Ablative Management of Cervical  Intraepithelial Neoplasia Grade 2 (CIN2) in the Era of HPV Testing&lt;/Title&gt;&lt;Template&gt;Journal Article&lt;/Template&gt;&lt;Star&gt;0&lt;/Star&gt;&lt;Tag&gt;0&lt;/Tag&gt;&lt;Author&gt;Tjandraprawira, K D; Olaitan, A; Petrie, A; Wilkinson, N; Rosenthal, A N&lt;/Author&gt;&lt;Year&gt;2022&lt;/Year&gt;&lt;Details&gt;&lt;_accession_num&gt;35371262&lt;/_accession_num&gt;&lt;_author_adr&gt;Elizabeth Garrett Anderson&amp;apos;s Institute for Women&amp;apos;s Health, University College  London, London, UK.; Department of Obstetrics and Gynaecology, Faculty of Medicine, Universitas  Padjadjaran, Bandung, Indonesia.; University College London Hospitals NHS Trust, London, UK.; Eastman Dental Institute, University College London, UK.; University College London Hospitals NHS Trust, London, UK.; Elizabeth Garrett Anderson&amp;apos;s Institute for Women&amp;apos;s Health, University College  London, London, UK.; University College London Hospitals NHS Trust, London, UK.&lt;/_author_adr&gt;&lt;_date_display&gt;2022&lt;/_date_display&gt;&lt;_date&gt;2022-01-20&lt;/_date&gt;&lt;_doi&gt;10.1155/2022/7955290&lt;/_doi&gt;&lt;_isbn&gt;1687-9589 (Print); 1687-9597 (Electronic); 1687-9597 (Linking)&lt;/_isbn&gt;&lt;_journal&gt;Obstet Gynecol Int&lt;/_journal&gt;&lt;_language&gt;eng&lt;/_language&gt;&lt;_ori_publication&gt;Copyright (c) 2022 Kevin Dominique Tjandraprawira et al.&lt;/_ori_publication&gt;&lt;_pages&gt;7955290&lt;/_pages&gt;&lt;_tertiary_title&gt;Obstetrics and gynecology international&lt;/_tertiary_title&gt;&lt;_type_work&gt;Journal Article&lt;/_type_work&gt;&lt;_url&gt;http://www.ncbi.nlm.nih.gov/entrez/query.fcgi?cmd=Retrieve&amp;amp;db=pubmed&amp;amp;dopt=Abstract&amp;amp;list_uids=35371262&amp;amp;query_hl=1&lt;/_url&gt;&lt;_volume&gt;2022&lt;/_volume&gt;&lt;_created&gt;65997279&lt;/_created&gt;&lt;_modified&gt;65997280&lt;/_modified&gt;&lt;_db_updated&gt;PubMed&lt;/_db_updated&gt;&lt;_collection_scope&gt;ESCI&lt;/_collection_scope&gt;&lt;/Details&gt;&lt;Extra&gt;&lt;DBUID&gt;{C3DDB144-B9A5-4BD3-B74E-FCFC25704025}&lt;/DBUID&gt;&lt;/Extra&gt;&lt;/Item&gt;&lt;/References&gt;&lt;/Group&gt;&lt;/Citation&gt;_x000a_"/>
    <w:docVar w:name="NE.Ref{689803D0-539B-4B61-9BE3-F38B8A545DE4}" w:val=" ADDIN NE.Ref.{689803D0-539B-4B61-9BE3-F38B8A545DE4}&lt;Citation&gt;&lt;Group&gt;&lt;References&gt;&lt;Item&gt;&lt;ID&gt;702&lt;/ID&gt;&lt;UID&gt;{F7D894B3-5CBF-44E5-A225-5B66A0081D2E}&lt;/UID&gt;&lt;Title&gt;Prognostic outcomes and risk factors for recurrence after laser vaporization for  cervical intraepithelial neoplasia: a single-center retrospective study&lt;/Title&gt;&lt;Template&gt;Journal Article&lt;/Template&gt;&lt;Star&gt;0&lt;/Star&gt;&lt;Tag&gt;0&lt;/Tag&gt;&lt;Author&gt;Kodama, K; Yahata, H; Okugawa, K; Tomonobe, H; Yasutake, N; Yoshida, S; Yagi, H; Yasunaga, M; Ohgami, T; Onoyama, I; Asanoma, K; Hori, E; Shimokawa, M; Kato, K&lt;/Author&gt;&lt;Year&gt;2021&lt;/Year&gt;&lt;Details&gt;&lt;_accession_num&gt;33394202&lt;/_accession_num&gt;&lt;_author_adr&gt;Department of Obstetrics and Gynecology, Graduate School of Medical Sciences,  Kyushu University, 3-1-1 Maidashi, Higashi-ku, Fukuoka, 812-8582, Japan.; Department of Obstetrics and Gynecology, Graduate School of Medical Sciences,  Kyushu University, 3-1-1 Maidashi, Higashi-ku, Fukuoka, 812-8582, Japan.  hyahata@med.kyushu-u.ac.jp.; Department of Obstetrics and Gynecology, Graduate School of Medical Sciences,  Kyushu University, 3-1-1 Maidashi, Higashi-ku, Fukuoka, 812-8582, Japan.; Department of Obstetrics and Gynecology, Graduate School of Medical Sciences,  Kyushu University, 3-1-1 Maidashi, Higashi-ku, Fukuoka, 812-8582, Japan.; Department of Obstetrics and Gynecology, Graduate School of Medical Sciences,  Kyushu University, 3-1-1 Maidashi, Higashi-ku, Fukuoka, 812-8582, Japan.; Department of Obstetrics and Gynecology, Graduate School of Medical Sciences,  Kyushu University, 3-1-1 Maidashi, Higashi-ku, Fukuoka, 812-8582, Japan.; Department of Obstetrics and Gynecology, Graduate School of Medical Sciences,  Kyushu University, 3-1-1 Maidashi, Higashi-ku, Fukuoka, 812-8582, Japan.; Department of Obstetrics and Gynecology, Graduate School of Medical Sciences,  Kyushu University, 3-1-1 Maidashi, Higashi-ku, Fukuoka, 812-8582, Japan.; Department of Obstetrics and Gynecology, Graduate School of Medical Sciences,  Kyushu University, 3-1-1 Maidashi, Higashi-ku, Fukuoka, 812-8582, Japan.; Department of Obstetrics and Gynecology, Graduate School of Medical Sciences,  Kyushu University, 3-1-1 Maidashi, Higashi-ku, Fukuoka, 812-8582, Japan.; Department of Obstetrics and Gynecology, Graduate School of Medical Sciences,  Kyushu University, 3-1-1 Maidashi, Higashi-ku, Fukuoka, 812-8582, Japan.; Department of Obstetrics and Gynecology, Graduate School of Medical Sciences,  Kyushu University, 3-1-1 Maidashi, Higashi-ku, Fukuoka, 812-8582, Japan.; Department of Biostatistics, Graduate School of Medicine, Yamaguchi University,  1-1-1 Minamikogushi, Ube, Yamaguchi, 755-8505, Japan.; Department of Obstetrics and Gynecology, Graduate School of Medical Sciences,  Kyushu University, 3-1-1 Maidashi, Higashi-ku, Fukuoka, 812-8582, Japan.&lt;/_author_adr&gt;&lt;_date_display&gt;2021 Apr&lt;/_date_display&gt;&lt;_date&gt;2021-04-01&lt;/_date&gt;&lt;_doi&gt;10.1007/s10147-020-01848-x&lt;/_doi&gt;&lt;_isbn&gt;1437-7772 (Electronic); 1341-9625 (Linking)&lt;/_isbn&gt;&lt;_issue&gt;4&lt;/_issue&gt;&lt;_journal&gt;Int J Clin Oncol&lt;/_journal&gt;&lt;_keywords&gt;Cervical intraepithelial neoplasia; Laser vaporization; Recurrence-free interval&lt;/_keywords&gt;&lt;_language&gt;eng&lt;/_language&gt;&lt;_pages&gt;770-776&lt;/_pages&gt;&lt;_subject_headings&gt;Adolescent; Adult; Aged; Female; Follow-Up Studies; Humans; *Laser Therapy; Middle Aged; Neoplasm Recurrence, Local/surgery; Papillomaviridae; *Papillomavirus Infections; Prognosis; Retrospective Studies; Risk Factors; *Uterine Cervical Neoplasms/surgery; Young Adult; *Uterine Cervical Dysplasia/surgery&lt;/_subject_headings&gt;&lt;_tertiary_title&gt;International journal of clinical oncology&lt;/_tertiary_title&gt;&lt;_type_work&gt;Journal Article&lt;/_type_work&gt;&lt;_url&gt;http://www.ncbi.nlm.nih.gov/entrez/query.fcgi?cmd=Retrieve&amp;amp;db=pubmed&amp;amp;dopt=Abstract&amp;amp;list_uids=33394202&amp;amp;query_hl=1&lt;/_url&gt;&lt;_volume&gt;26&lt;/_volume&gt;&lt;_created&gt;66000895&lt;/_created&gt;&lt;_modified&gt;66000895&lt;/_modified&gt;&lt;_db_updated&gt;PubMed&lt;/_db_updated&gt;&lt;_impact_factor&gt;   3.850&lt;/_impact_factor&gt;&lt;_social_category&gt;医学(3)&lt;/_social_category&gt;&lt;_collection_scope&gt;SCIE&lt;/_collection_scope&gt;&lt;/Details&gt;&lt;Extra&gt;&lt;DBUID&gt;{C3DDB144-B9A5-4BD3-B74E-FCFC25704025}&lt;/DBUID&gt;&lt;/Extra&gt;&lt;/Item&gt;&lt;/References&gt;&lt;/Group&gt;&lt;/Citation&gt;_x000a_"/>
    <w:docVar w:name="NE.Ref{6A16F3E1-601C-472F-BC1E-33E81B70DE8A}" w:val=" ADDIN NE.Ref.{6A16F3E1-601C-472F-BC1E-33E81B70DE8A}&lt;Citation&gt;&lt;Group&gt;&lt;References&gt;&lt;Item&gt;&lt;ID&gt;672&lt;/ID&gt;&lt;UID&gt;{DAB1BA63-B3A9-4CA2-9533-76DDB2D3CC4B}&lt;/UID&gt;&lt;Title&gt;Global cancer statistics 2022: GLOBOCAN estimates of incidence and mortality  worldwide for 36 cancers in 185 countries&lt;/Title&gt;&lt;Template&gt;Journal Article&lt;/Template&gt;&lt;Star&gt;0&lt;/Star&gt;&lt;Tag&gt;0&lt;/Tag&gt;&lt;Author&gt;Bray, F; Laversanne, M; Sung, H; Ferlay, J; Siegel, R L; Soerjomataram, I; Jemal, A&lt;/Author&gt;&lt;Year&gt;2024&lt;/Year&gt;&lt;Details&gt;&lt;_accession_num&gt;38572751&lt;/_accession_num&gt;&lt;_author_adr&gt;Cancer Surveillance Branch, International Agency for Research on Cancer, Lyon,  France.; Cancer Surveillance Branch, International Agency for Research on Cancer, Lyon,  France.; Surveillance and Health Equity Science, American Cancer Society, Atlanta,  Georgia, USA.; Cancer Surveillance Branch, International Agency for Research on Cancer, Lyon,  France.; Surveillance and Health Equity Science, American Cancer Society, Atlanta,  Georgia, USA.; Cancer Surveillance Branch, International Agency for Research on Cancer, Lyon,  France.; Surveillance and Health Equity Science, American Cancer Society, Atlanta,  Georgia, USA.&lt;/_author_adr&gt;&lt;_collection_scope&gt;SCIE&lt;/_collection_scope&gt;&lt;_created&gt;65681101&lt;/_created&gt;&lt;_date&gt;2024-05-01&lt;/_date&gt;&lt;_date_display&gt;2024 May-Jun&lt;/_date_display&gt;&lt;_db_updated&gt;PubMed&lt;/_db_updated&gt;&lt;_doi&gt;10.3322/caac.21834&lt;/_doi&gt;&lt;_impact_factor&gt; 286.130&lt;/_impact_factor&gt;&lt;_isbn&gt;1542-4863 (Electronic); 0007-9235 (Linking)&lt;/_isbn&gt;&lt;_issue&gt;3&lt;/_issue&gt;&lt;_journal&gt;CA Cancer J Clin&lt;/_journal&gt;&lt;_keywords&gt;cancer burden; cancer control; epidemiology; incidence; mortality&lt;/_keywords&gt;&lt;_language&gt;eng&lt;/_language&gt;&lt;_modified&gt;66000830&lt;/_modified&gt;&lt;_ori_publication&gt;(c) 2024 The Authors. CA: A Cancer Journal for Clinicians published by Wiley _x000d__x000a_      Periodicals LLC on behalf of American Cancer Society.&lt;/_ori_publication&gt;&lt;_pages&gt;229-263&lt;/_pages&gt;&lt;_social_category&gt;医学(1)&lt;/_social_category&gt;&lt;_subject_headings&gt;Humans; *Neoplasms/epidemiology/mortality; Male; Female; Incidence; *Global Health/statistics &amp;amp; numerical data; Adult; Middle Aged; Aged; Child; Adolescent; Child, Preschool; Infant; Young Adult; Sex Distribution; Infant, Newborn; Aged, 80 and over&lt;/_subject_headings&gt;&lt;_tertiary_title&gt;CA: a cancer journal for clinicians&lt;/_tertiary_title&gt;&lt;_type_work&gt;Journal Article; Research Support, Non-U.S. Gov&amp;apos;t&lt;/_type_work&gt;&lt;_url&gt;http://www.ncbi.nlm.nih.gov/entrez/query.fcgi?cmd=Retrieve&amp;amp;db=pubmed&amp;amp;dopt=Abstract&amp;amp;list_uids=38572751&amp;amp;query_hl=1&lt;/_url&gt;&lt;_volume&gt;74&lt;/_volume&gt;&lt;/Details&gt;&lt;Extra&gt;&lt;DBUID&gt;{C3DDB144-B9A5-4BD3-B74E-FCFC25704025}&lt;/DBUID&gt;&lt;/Extra&gt;&lt;/Item&gt;&lt;/References&gt;&lt;/Group&gt;&lt;/Citation&gt;_x000a_"/>
    <w:docVar w:name="NE.Ref{8663D6B3-27D8-420B-9F9A-B82379195214}" w:val=" ADDIN NE.Ref.{8663D6B3-27D8-420B-9F9A-B82379195214}&lt;Citation&gt;&lt;Group&gt;&lt;References&gt;&lt;Item&gt;&lt;ID&gt;672&lt;/ID&gt;&lt;UID&gt;{DAB1BA63-B3A9-4CA2-9533-76DDB2D3CC4B}&lt;/UID&gt;&lt;Title&gt;Global cancer statistics 2022: GLOBOCAN estimates of incidence and mortality  worldwide for 36 cancers in 185 countries&lt;/Title&gt;&lt;Template&gt;Journal Article&lt;/Template&gt;&lt;Star&gt;0&lt;/Star&gt;&lt;Tag&gt;0&lt;/Tag&gt;&lt;Author&gt;Bray, F; Laversanne, M; Sung, H; Ferlay, J; Siegel, R L; Soerjomataram, I; Jemal, A&lt;/Author&gt;&lt;Year&gt;2024&lt;/Year&gt;&lt;Details&gt;&lt;_accession_num&gt;38572751&lt;/_accession_num&gt;&lt;_author_adr&gt;Cancer Surveillance Branch, International Agency for Research on Cancer, Lyon,  France.; Cancer Surveillance Branch, International Agency for Research on Cancer, Lyon,  France.; Surveillance and Health Equity Science, American Cancer Society, Atlanta,  Georgia, USA.; Cancer Surveillance Branch, International Agency for Research on Cancer, Lyon,  France.; Surveillance and Health Equity Science, American Cancer Society, Atlanta,  Georgia, USA.; Cancer Surveillance Branch, International Agency for Research on Cancer, Lyon,  France.; Surveillance and Health Equity Science, American Cancer Society, Atlanta,  Georgia, USA.&lt;/_author_adr&gt;&lt;_date_display&gt;2024 May-Jun&lt;/_date_display&gt;&lt;_date&gt;2024-05-01&lt;/_date&gt;&lt;_doi&gt;10.3322/caac.21834&lt;/_doi&gt;&lt;_isbn&gt;1542-4863 (Electronic); 0007-9235 (Linking)&lt;/_isbn&gt;&lt;_issue&gt;3&lt;/_issue&gt;&lt;_journal&gt;CA Cancer J Clin&lt;/_journal&gt;&lt;_keywords&gt;cancer burden; cancer control; epidemiology; incidence; mortality&lt;/_keywords&gt;&lt;_language&gt;eng&lt;/_language&gt;&lt;_ori_publication&gt;(c) 2024 The Authors. CA: A Cancer Journal for Clinicians published by Wiley _x000d__x000a_      Periodicals LLC on behalf of American Cancer Society.&lt;/_ori_publication&gt;&lt;_pages&gt;229-263&lt;/_pages&gt;&lt;_subject_headings&gt;Humans; *Neoplasms/epidemiology/mortality; Male; Female; Incidence; *Global Health/statistics &amp;amp; numerical data; Adult; Middle Aged; Aged; Child; Adolescent; Child, Preschool; Infant; Young Adult; Sex Distribution; Infant, Newborn; Aged, 80 and over&lt;/_subject_headings&gt;&lt;_tertiary_title&gt;CA: a cancer journal for clinicians&lt;/_tertiary_title&gt;&lt;_type_work&gt;Journal Article; Research Support, Non-U.S. Gov&amp;apos;t&lt;/_type_work&gt;&lt;_url&gt;http://www.ncbi.nlm.nih.gov/entrez/query.fcgi?cmd=Retrieve&amp;amp;db=pubmed&amp;amp;dopt=Abstract&amp;amp;list_uids=38572751&amp;amp;query_hl=1&lt;/_url&gt;&lt;_volume&gt;74&lt;/_volume&gt;&lt;_created&gt;65681101&lt;/_created&gt;&lt;_modified&gt;65681101&lt;/_modified&gt;&lt;_db_updated&gt;PubMed&lt;/_db_updated&gt;&lt;_impact_factor&gt; 286.130&lt;/_impact_factor&gt;&lt;_social_category&gt;医学(1)&lt;/_social_category&gt;&lt;_collection_scope&gt;SCIE&lt;/_collection_scope&gt;&lt;/Details&gt;&lt;Extra&gt;&lt;DBUID&gt;{C3DDB144-B9A5-4BD3-B74E-FCFC25704025}&lt;/DBUID&gt;&lt;/Extra&gt;&lt;/Item&gt;&lt;/References&gt;&lt;/Group&gt;&lt;/Citation&gt;_x000a_"/>
    <w:docVar w:name="NE.Ref{8AB3CF2C-8413-4A2D-9FF8-BD5FDFFC898F}" w:val=" ADDIN NE.Ref.{8AB3CF2C-8413-4A2D-9FF8-BD5FDFFC898F}&lt;Citation&gt;&lt;Group&gt;&lt;References&gt;&lt;Item&gt;&lt;ID&gt;677&lt;/ID&gt;&lt;UID&gt;{64347037-67D0-4CF2-A202-BADAA53D05C0}&lt;/UID&gt;&lt;Title&gt;Risk factors for treatment failure of CO2 laser vaporization in cervical  intraepithelial neoplasia 2&lt;/Title&gt;&lt;Template&gt;Journal Article&lt;/Template&gt;&lt;Star&gt;0&lt;/Star&gt;&lt;Tag&gt;0&lt;/Tag&gt;&lt;Author&gt;Yoon, B S; Seong, S J; Song, T; Kim, M L; Kim, M K&lt;/Author&gt;&lt;Year&gt;2014&lt;/Year&gt;&lt;Details&gt;&lt;_accession_num&gt;24458427&lt;/_accession_num&gt;&lt;_author_adr&gt;Department of Obstetrics and Gynecology, CHA Gangnam Medical Center, CHA  University, 650-9, Yoksam-dong, Gangnam-gu, Seoul, 135-913, Korea.&lt;/_author_adr&gt;&lt;_collection_scope&gt;SCIE&lt;/_collection_scope&gt;&lt;_created&gt;65681115&lt;/_created&gt;&lt;_date&gt;2014-07-01&lt;/_date&gt;&lt;_date_display&gt;2014 Jul&lt;/_date_display&gt;&lt;_db_updated&gt;PubMed&lt;/_db_updated&gt;&lt;_doi&gt;10.1007/s00404-014-3148-1&lt;/_doi&gt;&lt;_impact_factor&gt;   2.493&lt;/_impact_factor&gt;&lt;_isbn&gt;1432-0711 (Electronic); 0932-0067 (Linking)&lt;/_isbn&gt;&lt;_issue&gt;1&lt;/_issue&gt;&lt;_journal&gt;Arch Gynecol Obstet&lt;/_journal&gt;&lt;_language&gt;eng&lt;/_language&gt;&lt;_modified&gt;65681115&lt;/_modified&gt;&lt;_pages&gt;115-9&lt;/_pages&gt;&lt;_social_category&gt;医学(4)&lt;/_social_category&gt;&lt;_subject_headings&gt;Adult; Aged; Biopsy; Colposcopes; Female; Human Papillomavirus DNA Tests; Humans; Laser Therapy/adverse effects/*methods; Lasers, Gas/*therapeutic use; Middle Aged; Multivariate Analysis; Retrospective Studies; Risk Factors; *Treatment Failure; Uterine Cervical Neoplasms/pathology/*surgery; Uterine Cervical Dysplasia/pathology/*surgery&lt;/_subject_headings&gt;&lt;_tertiary_title&gt;Archives of gynecology and obstetrics&lt;/_tertiary_title&gt;&lt;_type_work&gt;Evaluation Study; Journal Article&lt;/_type_work&gt;&lt;_url&gt;http://www.ncbi.nlm.nih.gov/entrez/query.fcgi?cmd=Retrieve&amp;amp;db=pubmed&amp;amp;dopt=Abstract&amp;amp;list_uids=24458427&amp;amp;query_hl=1&lt;/_url&gt;&lt;_volume&gt;290&lt;/_volume&gt;&lt;/Details&gt;&lt;Extra&gt;&lt;DBUID&gt;{C3DDB144-B9A5-4BD3-B74E-FCFC25704025}&lt;/DBUID&gt;&lt;/Extra&gt;&lt;/Item&gt;&lt;/References&gt;&lt;/Group&gt;&lt;Group&gt;&lt;References&gt;&lt;Item&gt;&lt;ID&gt;693&lt;/ID&gt;&lt;UID&gt;{FC21987C-31A8-4C77-8A8D-816C372B24F5}&lt;/UID&gt;&lt;Title&gt;Ki-67、MCM2、p16在宫颈鳞状上皮内病变中表达及意义&lt;/Title&gt;&lt;Template&gt;Journal Article&lt;/Template&gt;&lt;Star&gt;0&lt;/Star&gt;&lt;Tag&gt;0&lt;/Tag&gt;&lt;Author&gt;温俊秀张可心王琦宋慧茹倪璐&lt;/Author&gt;&lt;Year&gt;2025&lt;/Year&gt;&lt;Details&gt;&lt;_language&gt;Chinese&lt;/_language&gt;&lt;_created&gt;66000845&lt;/_created&gt;&lt;_modified&gt;66000846&lt;/_modified&gt;&lt;_accessed&gt;66000846&lt;/_accessed&gt;&lt;_translated_author&gt;Wen, Jun xiu zhang ke&lt;/_translated_author&gt;&lt;/Details&gt;&lt;Extra&gt;&lt;DBUID&gt;{C3DDB144-B9A5-4BD3-B74E-FCFC25704025}&lt;/DBUID&gt;&lt;/Extra&gt;&lt;/Item&gt;&lt;/References&gt;&lt;/Group&gt;&lt;/Citation&gt;_x000a_"/>
    <w:docVar w:name="NE.Ref{8E6DAFFA-CB2E-45AB-B769-72439B7B000B}" w:val=" ADDIN NE.Ref.{8E6DAFFA-CB2E-45AB-B769-72439B7B000B}&lt;Citation&gt;&lt;Group&gt;&lt;References&gt;&lt;Item&gt;&lt;ID&gt;700&lt;/ID&gt;&lt;UID&gt;{C31C6726-DD4B-4478-AC7B-476179AF9143}&lt;/UID&gt;&lt;Title&gt;The Effect of Surgeon Volume on the Outcome of Laser Vaporization: A  Single-Center Retrospective Study&lt;/Title&gt;&lt;Template&gt;Journal Article&lt;/Template&gt;&lt;Star&gt;0&lt;/Star&gt;&lt;Tag&gt;0&lt;/Tag&gt;&lt;Author&gt;Maeda, M; Hisa, T; Matsuzaki, S; Lee, M; Mabuchi, S; Kamiura, S&lt;/Author&gt;&lt;Year&gt;2022&lt;/Year&gt;&lt;Details&gt;&lt;_accession_num&gt;35621692&lt;/_accession_num&gt;&lt;_author_adr&gt;Department of Gynecology, Osaka International Cancer Institute, Osaka 541-8567,  Japan.; Department of Gynecology, Osaka International Cancer Institute, Osaka 541-8567,  Japan.; Department of Gynecology, Osaka International Cancer Institute, Osaka 541-8567,  Japan.; Department of Forensic Medicine, School of Medicine, Kindai University, Osaka  577-8502, Japan.; Department of Gynecology, Osaka International Cancer Institute, Osaka 541-8567,  Japan.; Department of Gynecology, Osaka International Cancer Institute, Osaka 541-8567,  Japan.&lt;/_author_adr&gt;&lt;_date_display&gt;2022 May 23&lt;/_date_display&gt;&lt;_date&gt;2022-05-23&lt;/_date&gt;&lt;_doi&gt;10.3390/curroncol29050302&lt;/_doi&gt;&lt;_isbn&gt;1718-7729 (Electronic); 1198-0052 (Print); 1198-0052 (Linking)&lt;/_isbn&gt;&lt;_issue&gt;5&lt;/_issue&gt;&lt;_journal&gt;Curr Oncol&lt;/_journal&gt;&lt;_keywords&gt;carbon dioxide laser vaporization; cervical intraepithelial neoplasia; prognostic factors; recurrence; surgeon volume&lt;/_keywords&gt;&lt;_language&gt;eng&lt;/_language&gt;&lt;_pages&gt;3770-3779&lt;/_pages&gt;&lt;_subject_headings&gt;Adult; Female; Humans; *Laser Therapy/methods; Middle Aged; Retrospective Studies; *Surgeons; *Uterine Cervical Neoplasms/pathology; *Uterine Cervical Dysplasia/pathology/surgery&lt;/_subject_headings&gt;&lt;_tertiary_title&gt;Current oncology (Toronto, Ont.)&lt;/_tertiary_title&gt;&lt;_type_work&gt;Journal Article&lt;/_type_work&gt;&lt;_url&gt;http://www.ncbi.nlm.nih.gov/entrez/query.fcgi?cmd=Retrieve&amp;amp;db=pubmed&amp;amp;dopt=Abstract&amp;amp;list_uids=35621692&amp;amp;query_hl=1&lt;/_url&gt;&lt;_volume&gt;29&lt;/_volume&gt;&lt;_created&gt;66000886&lt;/_created&gt;&lt;_modified&gt;66000886&lt;/_modified&gt;&lt;_db_updated&gt;PubMed&lt;/_db_updated&gt;&lt;_impact_factor&gt;   3.109&lt;/_impact_factor&gt;&lt;_social_category&gt;医学(3)&lt;/_social_category&gt;&lt;_collection_scope&gt;SCIE&lt;/_collection_scope&gt;&lt;/Details&gt;&lt;Extra&gt;&lt;DBUID&gt;{C3DDB144-B9A5-4BD3-B74E-FCFC25704025}&lt;/DBUID&gt;&lt;/Extra&gt;&lt;/Item&gt;&lt;/References&gt;&lt;/Group&gt;&lt;/Citation&gt;_x000a_"/>
    <w:docVar w:name="NE.Ref{9ED6D174-00F4-4DF2-AC36-8827EFB94F39}" w:val=" ADDIN NE.Ref.{9ED6D174-00F4-4DF2-AC36-8827EFB94F39}&lt;Citation&gt;&lt;Group&gt;&lt;References&gt;&lt;Item&gt;&lt;ID&gt;692&lt;/ID&gt;&lt;UID&gt;{AB3FE620-C19F-468B-AB99-6D3DA65603D2}&lt;/UID&gt;&lt;Title&gt;Efficacy, acceptability and safety of ablative versus excisional procedure in the  treatment of histologically confirmed CIN2/3: A systematic review&lt;/Title&gt;&lt;Template&gt;Journal Article&lt;/Template&gt;&lt;Star&gt;0&lt;/Star&gt;&lt;Tag&gt;0&lt;/Tag&gt;&lt;Author&gt;Zhang, L; Sauvaget, C; Mosquera, I; Basu, P&lt;/Author&gt;&lt;Year&gt;2023&lt;/Year&gt;&lt;Details&gt;&lt;_accession_num&gt;35689493&lt;/_accession_num&gt;&lt;_author_adr&gt;Early Detection, Prevention &amp;amp; Infections Branch, International Agency for  Research on Cancer, Lyon, France.; Early Detection, Prevention &amp;amp; Infections Branch, International Agency for  Research on Cancer, Lyon, France.; Early Detection, Prevention &amp;amp; Infections Branch, International Agency for  Research on Cancer, Lyon, France.; Early Detection, Prevention &amp;amp; Infections Branch, International Agency for  Research on Cancer, Lyon, France.&lt;/_author_adr&gt;&lt;_collection_scope&gt;SCIE&lt;/_collection_scope&gt;&lt;_created&gt;65681188&lt;/_created&gt;&lt;_date&gt;2023-01-01&lt;/_date&gt;&lt;_date_display&gt;2023 Jan&lt;/_date_display&gt;&lt;_db_updated&gt;PubMed&lt;/_db_updated&gt;&lt;_doi&gt;10.1111/1471-0528.17251&lt;/_doi&gt;&lt;_impact_factor&gt;   7.331&lt;/_impact_factor&gt;&lt;_isbn&gt;1471-0528 (Electronic); 1470-0328 (Linking)&lt;/_isbn&gt;&lt;_issue&gt;2&lt;/_issue&gt;&lt;_journal&gt;BJOG&lt;/_journal&gt;&lt;_keywords&gt;CIN2/3; ablation; efficacy; excision; systematic review; treatment&lt;/_keywords&gt;&lt;_language&gt;eng&lt;/_language&gt;&lt;_modified&gt;66000829&lt;/_modified&gt;&lt;_ori_publication&gt;(c) 2022 The World Health Organization. The World Health Organization retains _x000d__x000a_      copyright and all other rights in the manuscript of this article as submitted for _x000d__x000a_      publication.&lt;/_ori_publication&gt;&lt;_pages&gt;153-161&lt;/_pages&gt;&lt;_social_category&gt;医学(1)&lt;/_social_category&gt;&lt;_subject_headings&gt;Female; Humans; *Uterine Cervical Neoplasms/surgery/pathology; *HIV Infections; *Uterine Cervical Dysplasia/surgery/pathology&lt;/_subject_headings&gt;&lt;_tertiary_title&gt;BJOG : an international journal of obstetrics and gynaecology&lt;/_tertiary_title&gt;&lt;_type_work&gt;Journal Article; Review; Systematic Review&lt;/_type_work&gt;&lt;_url&gt;http://www.ncbi.nlm.nih.gov/entrez/query.fcgi?cmd=Retrieve&amp;amp;db=pubmed&amp;amp;dopt=Abstract&amp;amp;list_uids=35689493&amp;amp;query_hl=1&lt;/_url&gt;&lt;_volume&gt;130&lt;/_volume&gt;&lt;/Details&gt;&lt;Extra&gt;&lt;DBUID&gt;{C3DDB144-B9A5-4BD3-B74E-FCFC25704025}&lt;/DBUID&gt;&lt;/Extra&gt;&lt;/Item&gt;&lt;/References&gt;&lt;/Group&gt;&lt;/Citation&gt;_x000a_"/>
    <w:docVar w:name="NE.Ref{9F570956-19E8-4EB8-8F15-DB2142301DCC}" w:val=" ADDIN NE.Ref.{9F570956-19E8-4EB8-8F15-DB2142301DCC}&lt;Citation&gt;&lt;Group&gt;&lt;References&gt;&lt;Item&gt;&lt;ID&gt;682&lt;/ID&gt;&lt;UID&gt;{7D1950A8-0205-4511-892C-2360404E52F0}&lt;/UID&gt;&lt;Title&gt;25岁以下女性宫颈上皮内瘤变2级消退状况研究&lt;/Title&gt;&lt;Template&gt;Journal Article&lt;/Template&gt;&lt;Star&gt;0&lt;/Star&gt;&lt;Tag&gt;0&lt;/Tag&gt;&lt;Author&gt;徐海波; 季进峰; 姚涓&lt;/Author&gt;&lt;Year&gt;2024&lt;/Year&gt;&lt;Details&gt;&lt;_created&gt;65681129&lt;/_created&gt;&lt;_db_provider&gt;北京万方数据股份有限公司&lt;/_db_provider&gt;&lt;_db_updated&gt;Wanfangdata&lt;/_db_updated&gt;&lt;_doi&gt;10.3969/j.issn.1004-3845.2024.03.008&lt;/_doi&gt;&lt;_isbn&gt;1004-3845&lt;/_isbn&gt;&lt;_issue&gt;3&lt;/_issue&gt;&lt;_journal&gt;生殖医学杂志&lt;/_journal&gt;&lt;_keywords&gt;宫颈上皮内瘤变; 消退; 影响因素&lt;/_keywords&gt;&lt;_language&gt;chi&lt;/_language&gt;&lt;_modified&gt;65681129&lt;/_modified&gt;&lt;_pages&gt;322-329&lt;/_pages&gt;&lt;_tertiary_title&gt;Journal of Reproductive Medicine&lt;/_tertiary_title&gt;&lt;_translated_author&gt;Hai-bo, X U; Jin-feng, J I; Juan, YAO&lt;/_translated_author&gt;&lt;_translated_title&gt;Study on regression of cervical intraepithelial neoplasia grade 2 in women under 25 years old&lt;/_translated_title&gt;&lt;_url&gt;https://d.wanfangdata.com.cn/periodical/Ch9QZXJpb2RpY2FsQ0hJTmV3UzIwMjQxMTA1MTcxMzA0Eg9zenl4enoyMDI0MDMwMDgaCDJtbWk2Z3Y2&lt;/_url&gt;&lt;_volume&gt;33&lt;/_volume&gt;&lt;/Details&gt;&lt;Extra&gt;&lt;DBUID&gt;{C3DDB144-B9A5-4BD3-B74E-FCFC25704025}&lt;/DBUID&gt;&lt;/Extra&gt;&lt;/Item&gt;&lt;/References&gt;&lt;/Group&gt;&lt;Group&gt;&lt;References&gt;&lt;Item&gt;&lt;ID&gt;683&lt;/ID&gt;&lt;UID&gt;{53A88068-B1C5-4F35-90C1-AF1BF7E9AA48}&lt;/UID&gt;&lt;Title&gt;Clinical course of untreated cervical intraepithelial neoplasia grade 2 under  active surveillance: systematic review and meta-analysis&lt;/Title&gt;&lt;Template&gt;Journal Article&lt;/Template&gt;&lt;Star&gt;0&lt;/Star&gt;&lt;Tag&gt;0&lt;/Tag&gt;&lt;Author&gt;Tainio, K; Athanasiou, A; Tikkinen, KAO; Aaltonen, R; Cardenas, J; Hernandes; Glazer-Livson, S; Jakobsson, M; Joronen, K; Kiviharju, M; Louvanto, K; Oksjoki, S; Tahtinen, R; Virtanen, S; Nieminen, P; Kyrgiou, M; Kalliala, I&lt;/Author&gt;&lt;Year&gt;2018&lt;/Year&gt;&lt;Details&gt;&lt;_accessed&gt;65681169&lt;/_accessed&gt;&lt;_accession_num&gt;29487049&lt;/_accession_num&gt;&lt;_author_adr&gt;Department of Obstetrics and Gynaecology, University of Helsinki and Helsinki  University Hospital, Helsinki, Finland.; Department of Obstetrics and Gynaecology, University Hospital of Ioannina,  Ioannina, Greece.; Departments of Urology and Public Health, University of Helsinki and Helsinki  University Hospital, Helsinki, Finland.; Department of Obstetrics and Gynaecology, Turku University Hospital and  University of Turku, Turku, Finland.; National Center for Health Technology Excellence (CENETEC) Direction of Health  Technologies assessment, Mexico City, Mexico.; Department of Obstetrics and Gynaecology, University of Helsinki and Helsinki  University Hospital, Helsinki, Finland.; Department of Obstetrics and Gynaecology, University of Helsinki and Helsinki  University Hospital, Helsinki, Finland.; Department of Obstetrics and Gynaecology, Turku University Hospital and  University of Turku, Turku, Finland.; Department of Obstetrics and Gynaecology, University of Helsinki and Helsinki  University Hospital, Helsinki, Finland.; Department of Obstetrics and Gynaecology, University of Helsinki and Helsinki  University Hospital, Helsinki, Finland.; Wolfson Institute of Preventive Medicine, Queen Mary University of London,  London, UK.; Department of Obstetrics and Gynaecology, Turku University Hospital and  University of Turku, Turku, Finland.; Department of Obstetrics and Gynaecology, Kuopio University Hospital, Kuopio,  Finland.; Department of Obstetrics and Gynaecology, University of Helsinki and Helsinki  University Hospital, Helsinki, Finland.; Department of Obstetrics and Gynaecology, University of Helsinki and Helsinki  University Hospital, Helsinki, Finland.; Institute of Reproduction and Developmental Biology, Department of Surgery &amp;amp;  Cancer, Imperial College, London W12 0NN, UK m.kyrgiou@imperial.ac.uk.; West London Gynaecological Cancer Center, Queen Charlotte&amp;apos;s &amp;amp; Chelsea-Hammersmith  Hospital, Imperial Healthcare NHS Trust, London, UK.; Department of Obstetrics and Gynaecology, University of Helsinki and Helsinki  University Hospital, Helsinki, Finland.; Institute of Reproduction and Developmental Biology, Department of Surgery &amp;amp;  Cancer, Imperial College, London W12 0NN, UK.&lt;/_author_adr&gt;&lt;_collection_scope&gt;SCIE&lt;/_collection_scope&gt;&lt;_created&gt;65681131&lt;/_created&gt;&lt;_date&gt;2018-02-27&lt;/_date&gt;&lt;_date_display&gt;2018 Feb 27&lt;/_date_display&gt;&lt;_db_updated&gt;PubMed&lt;/_db_updated&gt;&lt;_doi&gt;10.1136/bmj.k499&lt;/_doi&gt;&lt;_impact_factor&gt;  93.333&lt;/_impact_factor&gt;&lt;_isbn&gt;1756-1833 (Electronic); 0959-8138 (Print); 0959-8138 (Linking)&lt;/_isbn&gt;&lt;_journal&gt;BMJ&lt;/_journal&gt;&lt;_language&gt;eng&lt;/_language&gt;&lt;_modified&gt;65681169&lt;/_modified&gt;&lt;_ori_publication&gt;Published by the BMJ Publishing Group Limited. For permission to use (where not _x000d__x000a_      already granted under a licence) please go to _x000d__x000a_      http://group.bmj.com/group/rights-licensing/permissions.&lt;/_ori_publication&gt;&lt;_pages&gt;k499&lt;/_pages&gt;&lt;_subject_headings&gt;*Conservative Treatment; Disease Progression; Female; Humans; Neoplasm Grading; Uterine Cervical Dysplasia/*pathology/*therapy&lt;/_subject_headings&gt;&lt;_tertiary_title&gt;BMJ (Clinical research ed.)&lt;/_tertiary_title&gt;&lt;_type_work&gt;Journal Article; Meta-Analysis; Research Support, Non-U.S. Gov&amp;apos;t; Review; Systematic Review&lt;/_type_work&gt;&lt;_url&gt;http://www.ncbi.nlm.nih.gov/entrez/query.fcgi?cmd=Retrieve&amp;amp;db=pubmed&amp;amp;dopt=Abstract&amp;amp;list_uids=29487049&amp;amp;query_hl=1&lt;/_url&gt;&lt;_volume&gt;360&lt;/_volume&gt;&lt;/Details&gt;&lt;Extra&gt;&lt;DBUID&gt;{C3DDB144-B9A5-4BD3-B74E-FCFC25704025}&lt;/DBUID&gt;&lt;/Extra&gt;&lt;/Item&gt;&lt;/References&gt;&lt;/Group&gt;&lt;Group&gt;&lt;References&gt;&lt;Item&gt;&lt;ID&gt;684&lt;/ID&gt;&lt;UID&gt;{98955DA4-2965-4488-BB8A-090C27E94D0C}&lt;/UID&gt;&lt;Title&gt;Regression of cervical high-grade squamous intraepithelial lesions (HSIL/CIN2)  managed expectantly&lt;/Title&gt;&lt;Template&gt;Journal Article&lt;/Template&gt;&lt;Star&gt;0&lt;/Star&gt;&lt;Tag&gt;0&lt;/Tag&gt;&lt;Author&gt;Nourrisson, A; Lepetit, H; Marty, M; Garrigue, I; Brun, J L&lt;/Author&gt;&lt;Year&gt;2022&lt;/Year&gt;&lt;Details&gt;&lt;_accession_num&gt;35842125&lt;/_accession_num&gt;&lt;_author_adr&gt;Department of Gynecology, University Hospital of Bordeaux, Bordeaux, France.; Department of Public Health, University Hospital of Bordeaux, Bordeaux, France.; Department of Pathology, University Hospital of Bordeaux, Bordeaux, France.; Laboratory of Virology, University Hospital of Bordeaux, Bordeaux, France; UMR  5234, Microbiology and Pathogenicity, University of Bordeaux, Bordeaux, France.; Department of Gynecology, University Hospital of Bordeaux, Bordeaux, France; UMR  5234, Microbiology and Pathogenicity, University of Bordeaux, Bordeaux, France.  Electronic address: jean-luc.brun@chu-bordeaux.fr.&lt;/_author_adr&gt;&lt;_created&gt;65681132&lt;/_created&gt;&lt;_date&gt;2022-10-01&lt;/_date&gt;&lt;_date_display&gt;2022 Oct&lt;/_date_display&gt;&lt;_db_updated&gt;PubMed&lt;/_db_updated&gt;&lt;_doi&gt;10.1016/j.jogoh.2022.102442&lt;/_doi&gt;&lt;_impact_factor&gt;   2.156&lt;/_impact_factor&gt;&lt;_isbn&gt;2468-7847 (Electronic); 2468-7847 (Linking)&lt;/_isbn&gt;&lt;_issue&gt;8&lt;/_issue&gt;&lt;_journal&gt;J Gynecol Obstet Hum Reprod&lt;/_journal&gt;&lt;_keywords&gt;CIN2; Colposcopy; Cytology; Follow-up; HPV&lt;/_keywords&gt;&lt;_language&gt;eng&lt;/_language&gt;&lt;_modified&gt;66000834&lt;/_modified&gt;&lt;_ori_publication&gt;Copyright (c) 2022 Elsevier Masson SAS. All rights reserved.&lt;/_ori_publication&gt;&lt;_pages&gt;102442&lt;/_pages&gt;&lt;_subject_headings&gt;Female; Humans; *Papillomavirus Infections/complications/epidemiology; Retrospective Studies; *Squamous Intraepithelial Lesions; *Uterine Cervical Neoplasms/pathology; *Uterine Cervical Dysplasia/pathology&lt;/_subject_headings&gt;&lt;_tertiary_title&gt;Journal of gynecology obstetrics and human reproduction&lt;/_tertiary_title&gt;&lt;_type_work&gt;Journal Article&lt;/_type_work&gt;&lt;_url&gt;http://www.ncbi.nlm.nih.gov/entrez/query.fcgi?cmd=Retrieve&amp;amp;db=pubmed&amp;amp;dopt=Abstract&amp;amp;list_uids=35842125&amp;amp;query_hl=1&lt;/_url&gt;&lt;_volume&gt;51&lt;/_volume&gt;&lt;/Details&gt;&lt;Extra&gt;&lt;DBUID&gt;{C3DDB144-B9A5-4BD3-B74E-FCFC25704025}&lt;/DBUID&gt;&lt;/Extra&gt;&lt;/Item&gt;&lt;/References&gt;&lt;/Group&gt;&lt;/Citation&gt;_x000a_"/>
    <w:docVar w:name="NE.Ref{A2867509-777A-4543-A119-C45637647EBE}" w:val=" ADDIN NE.Ref.{A2867509-777A-4543-A119-C45637647EBE}&lt;Citation&gt;&lt;Group&gt;&lt;References&gt;&lt;Item&gt;&lt;ID&gt;677&lt;/ID&gt;&lt;UID&gt;{64347037-67D0-4CF2-A202-BADAA53D05C0}&lt;/UID&gt;&lt;Title&gt;Risk factors for treatment failure of CO2 laser vaporization in cervical  intraepithelial neoplasia 2&lt;/Title&gt;&lt;Template&gt;Journal Article&lt;/Template&gt;&lt;Star&gt;0&lt;/Star&gt;&lt;Tag&gt;0&lt;/Tag&gt;&lt;Author&gt;Yoon, B S; Seong, S J; Song, T; Kim, M L; Kim, M K&lt;/Author&gt;&lt;Year&gt;2014&lt;/Year&gt;&lt;Details&gt;&lt;_accession_num&gt;24458427&lt;/_accession_num&gt;&lt;_author_adr&gt;Department of Obstetrics and Gynecology, CHA Gangnam Medical Center, CHA  University, 650-9, Yoksam-dong, Gangnam-gu, Seoul, 135-913, Korea.&lt;/_author_adr&gt;&lt;_collection_scope&gt;SCIE&lt;/_collection_scope&gt;&lt;_created&gt;65681115&lt;/_created&gt;&lt;_date&gt;2014-07-01&lt;/_date&gt;&lt;_date_display&gt;2014 Jul&lt;/_date_display&gt;&lt;_db_updated&gt;PubMed&lt;/_db_updated&gt;&lt;_doi&gt;10.1007/s00404-014-3148-1&lt;/_doi&gt;&lt;_impact_factor&gt;   2.493&lt;/_impact_factor&gt;&lt;_isbn&gt;1432-0711 (Electronic); 0932-0067 (Linking)&lt;/_isbn&gt;&lt;_issue&gt;1&lt;/_issue&gt;&lt;_journal&gt;Arch Gynecol Obstet&lt;/_journal&gt;&lt;_language&gt;eng&lt;/_language&gt;&lt;_modified&gt;65681115&lt;/_modified&gt;&lt;_pages&gt;115-9&lt;/_pages&gt;&lt;_social_category&gt;医学(4)&lt;/_social_category&gt;&lt;_subject_headings&gt;Adult; Aged; Biopsy; Colposcopes; Female; Human Papillomavirus DNA Tests; Humans; Laser Therapy/adverse effects/*methods; Lasers, Gas/*therapeutic use; Middle Aged; Multivariate Analysis; Retrospective Studies; Risk Factors; *Treatment Failure; Uterine Cervical Neoplasms/pathology/*surgery; Uterine Cervical Dysplasia/pathology/*surgery&lt;/_subject_headings&gt;&lt;_tertiary_title&gt;Archives of gynecology and obstetrics&lt;/_tertiary_title&gt;&lt;_type_work&gt;Evaluation Study; Journal Article&lt;/_type_work&gt;&lt;_url&gt;http://www.ncbi.nlm.nih.gov/entrez/query.fcgi?cmd=Retrieve&amp;amp;db=pubmed&amp;amp;dopt=Abstract&amp;amp;list_uids=24458427&amp;amp;query_hl=1&lt;/_url&gt;&lt;_volume&gt;290&lt;/_volume&gt;&lt;/Details&gt;&lt;Extra&gt;&lt;DBUID&gt;{C3DDB144-B9A5-4BD3-B74E-FCFC25704025}&lt;/DBUID&gt;&lt;/Extra&gt;&lt;/Item&gt;&lt;/References&gt;&lt;/Group&gt;&lt;/Citation&gt;_x000a_"/>
    <w:docVar w:name="NE.Ref{A919520D-8A9C-44D0-9EF5-24BE74921FA9}" w:val=" ADDIN NE.Ref.{A919520D-8A9C-44D0-9EF5-24BE74921FA9}&lt;Citation&gt;&lt;Group&gt;&lt;References&gt;&lt;Item&gt;&lt;ID&gt;685&lt;/ID&gt;&lt;UID&gt;{154E909C-A26B-455F-B8C7-F15B9423CF8E}&lt;/UID&gt;&lt;Title&gt;&amp;quot;I feel reassured, but there is no guarantee.&amp;quot; How do women with a future  childbearing desire respond to active surveillance of cervical intraepithelial  neoplasia grade 2? A qualitative study&lt;/Title&gt;&lt;Template&gt;Journal Article&lt;/Template&gt;&lt;Star&gt;0&lt;/Star&gt;&lt;Tag&gt;0&lt;/Tag&gt;&lt;Author&gt;Hansen, J; Kirkegaard, P; Folmann, B; Bungum, H F; Hammer, A&lt;/Author&gt;&lt;Year&gt;2022&lt;/Year&gt;&lt;Details&gt;&lt;_accession_num&gt;35383881&lt;/_accession_num&gt;&lt;_author_adr&gt;Godstrup Hospital, NIDO Denmark, Godstrup, Denmark.; Department of Public Health Programs, University Research Clinic for Cancer  Screening, Randers Regional Hospital, Randers, Denmark.; Godstrup Hospital, NIDO Denmark, Godstrup, Denmark.; University College South Denmark, Kolding, Denmark.; Godstrup Hospital, NIDO Denmark, Godstrup, Denmark.; Godstrup Hospital, NIDO Denmark, Godstrup, Denmark.; Department of Clinical Medicine, Aarhus University, Aarhus, Denmark.&lt;/_author_adr&gt;&lt;_collection_scope&gt;SCIE&lt;/_collection_scope&gt;&lt;_created&gt;65681135&lt;/_created&gt;&lt;_date&gt;2022-06-01&lt;/_date&gt;&lt;_date_display&gt;2022 Jun&lt;/_date_display&gt;&lt;_db_updated&gt;PubMed&lt;/_db_updated&gt;&lt;_doi&gt;10.1111/aogs.14354&lt;/_doi&gt;&lt;_impact_factor&gt;   4.544&lt;/_impact_factor&gt;&lt;_isbn&gt;1600-0412 (Electronic); 0001-6349 (Print); 0001-6349 (Linking)&lt;/_isbn&gt;&lt;_issue&gt;6&lt;/_issue&gt;&lt;_journal&gt;Acta Obstet Gynecol Scand&lt;/_journal&gt;&lt;_keywords&gt;active surveillance; cervical cancer prevention; cervical intraepithelial neoplasia; decision aid; family planning; young women&lt;/_keywords&gt;&lt;_language&gt;eng&lt;/_language&gt;&lt;_modified&gt;65681135&lt;/_modified&gt;&lt;_ori_publication&gt;(c) 2022 The Authors. Acta Obstetricia et Gynecologica Scandinavica published by _x000d__x000a_      John Wiley &amp;amp; Sons Ltd on behalf of Nordic Federation of Societies of Obstetrics _x000d__x000a_      and Gynecology (NFOG).&lt;/_ori_publication&gt;&lt;_pages&gt;616-623&lt;/_pages&gt;&lt;_social_category&gt;医学(3)&lt;/_social_category&gt;&lt;_subject_headings&gt;Colposcopy; Emotions; Female; Humans; Infant; *Papillomavirus Infections/diagnosis; Pregnancy; *Uterine Cervical Dysplasia/pathology; *Uterine Cervical Neoplasms/pathology; Watchful Waiting&lt;/_subject_headings&gt;&lt;_tertiary_title&gt;Acta obstetricia et gynecologica Scandinavica&lt;/_tertiary_title&gt;&lt;_type_work&gt;Journal Article&lt;/_type_work&gt;&lt;_url&gt;http://www.ncbi.nlm.nih.gov/entrez/query.fcgi?cmd=Retrieve&amp;amp;db=pubmed&amp;amp;dopt=Abstract&amp;amp;list_uids=35383881&amp;amp;query_hl=1&lt;/_url&gt;&lt;_volume&gt;101&lt;/_volume&gt;&lt;/Details&gt;&lt;Extra&gt;&lt;DBUID&gt;{C3DDB144-B9A5-4BD3-B74E-FCFC25704025}&lt;/DBUID&gt;&lt;/Extra&gt;&lt;/Item&gt;&lt;/References&gt;&lt;/Group&gt;&lt;Group&gt;&lt;References&gt;&lt;Item&gt;&lt;ID&gt;704&lt;/ID&gt;&lt;UID&gt;{482BE8DE-7AB4-49C4-BDB2-6510B91BCFB4}&lt;/UID&gt;&lt;Title&gt;The European Society of Gynaecological Oncology (ESGO), the International Society  for the Study of Vulvovaginal Disease (ISSVD), the European College for the Study  of Vulval Disease (ECSVD), and the European Federation for Colposcopy (EFC)  Consensus Statement on the Management of Vaginal Intraepithelial Neoplasia&lt;/Title&gt;&lt;Template&gt;Journal Article&lt;/Template&gt;&lt;Star&gt;0&lt;/Star&gt;&lt;Tag&gt;0&lt;/Tag&gt;&lt;Author&gt;Kesic, V; Carcopino, X; Preti, M; Vieira-Baptista, P; Bevilacqua, F; Bornstein, J; Chargari, C; Cruickshank, M; Erzeneoglu, E; Gallio, N; Gultekin, M; Heller, D; Joura, E; Kyrgiou, M; Madic, T; Planchamp, F; Regauer, S; Reich, O; Esat, Temiz B; Woelber, L; Zodzika, J; Stockdale, C&lt;/Author&gt;&lt;Year&gt;2023&lt;/Year&gt;&lt;Details&gt;&lt;_accession_num&gt;36951985&lt;/_accession_num&gt;&lt;_author_adr&gt;Medical Faculty, University of Belgrade, Clinic of Obstetrics and Gynecology,  University Clinical Center of Serbia, Belgrade, Serbia.; Department of Obstetrics and Gynaecology, Hopital Nord, APHM, Aix-Marseille  University (AMU), Univ Avignon, CNRS, IRD, IMBE UMR 7263, 13397, Marseille,  France.; Department of Surgical Sciences, University of Torino, Torino, Italy.; Department of Surgical Sciences, University of Torino, Torino, Italy.; Galilee Medical Center and Azrieli Faculty of Medicine, Bar-Ilan, Israel.; Department of Radiation Oncology, Gustave Roussy Cancer Campus, Villejuif,  France.; Aberdeen Centre for Women&amp;apos;s Health Research, University of Aberdeen, Aberdeen,  United Kingdom.; Faculty of Medicine, Department of Obstetrics and Gynecology, Division of  Gynaecological Oncology, Hacettepe University, Ankara, Turkey.; Department of Surgical Sciences, University of Torino, Torino, Italy.; Division of Gynaecological Oncology, Department of Obstetrics and Gynaecology,  Hacettepe University Faculty of Medicine, Ankara, Turkey.; Rutgers New Jersey Medical School, Newark, NJ.; Department of Gynecology and Gynecologic Oncology, Comprehensive Cancer Center,  Medical University of Vienna, Vienna, Austria.; Clinic for Obstetrics and Gynecology, University Clinical Center of Serbia,  Belgrade, Serbia.; Clinical Research Unit, Institut Bergonie, Bordeaux, France.; Diagnostic and Research Institute of Pathology, Medical University of Graz, Graz,  Austria.; Department of Obstetrics and Gynecology, Medical University of Graz, Graz,  Austria.; Department of Gynecology, Hamburg-Eppendorf University Medical Center, Hamburg,  Germany.; Department of Obstetrics and Gynaecology Riga Stradin,s University, Riga, Latvia.; Department of Obstetrics &amp;amp; Gynecology, University of Iowa, Iowa City, IA.&lt;/_author_adr&gt;&lt;_date_display&gt;2023 Apr 1&lt;/_date_display&gt;&lt;_date&gt;2023-04-01&lt;/_date&gt;&lt;_doi&gt;10.1097/LGT.0000000000000732&lt;/_doi&gt;&lt;_isbn&gt;1526-0976 (Electronic); 1089-2591 (Print); 1089-2591 (Linking)&lt;/_isbn&gt;&lt;_issue&gt;2&lt;/_issue&gt;&lt;_journal&gt;J Low Genit Tract Dis&lt;/_journal&gt;&lt;_language&gt;eng&lt;/_language&gt;&lt;_ori_publication&gt;Copyright (c) 2023 ESGO, ISSVD, EFC, ECSVD. Published by Wolters Kluwer Health, _x000d__x000a_      Inc. on behalf of the ASCCP.&lt;/_ori_publication&gt;&lt;_pages&gt;131-145&lt;/_pages&gt;&lt;_subject_headings&gt;Female; Humans; Pregnancy; *Carcinoma in Situ/pathology; Colposcopy; *Papillomavirus Infections; Quality of Life; Retrospective Studies; *Uterine Cervical Dysplasia/pathology/therapy; *Uterine Cervical Neoplasms/pathology/therapy; Vagina/pathology; *Vaginal Neoplasms/pathology/therapy; *Vulvar Diseases/pathology&lt;/_subject_headings&gt;&lt;_tertiary_title&gt;Journal of lower genital tract disease&lt;/_tertiary_title&gt;&lt;_type_work&gt;Journal Article&lt;/_type_work&gt;&lt;_url&gt;http://www.ncbi.nlm.nih.gov/entrez/query.fcgi?cmd=Retrieve&amp;amp;db=pubmed&amp;amp;dopt=Abstract&amp;amp;list_uids=36951985&amp;amp;query_hl=1&lt;/_url&gt;&lt;_volume&gt;27&lt;/_volume&gt;&lt;_created&gt;66000903&lt;/_created&gt;&lt;_modified&gt;66000903&lt;/_modified&gt;&lt;_db_updated&gt;PubMed&lt;/_db_updated&gt;&lt;_impact_factor&gt;   3.842&lt;/_impact_factor&gt;&lt;_social_category&gt;医学(4)&lt;/_social_category&gt;&lt;_collection_scope&gt;SCIE&lt;/_collection_scope&gt;&lt;/Details&gt;&lt;Extra&gt;&lt;DBUID&gt;{C3DDB144-B9A5-4BD3-B74E-FCFC25704025}&lt;/DBUID&gt;&lt;/Extra&gt;&lt;/Item&gt;&lt;/References&gt;&lt;/Group&gt;&lt;/Citation&gt;_x000a_"/>
    <w:docVar w:name="NE.Ref{AE36B2E5-A3B4-4212-AE21-BB48BE8F6ADB}" w:val=" ADDIN NE.Ref.{AE36B2E5-A3B4-4212-AE21-BB48BE8F6ADB}&lt;Citation&gt;&lt;Group&gt;&lt;References&gt;&lt;Item&gt;&lt;ID&gt;689&lt;/ID&gt;&lt;UID&gt;{4C67D703-382C-416D-BE89-4E5834A89061}&lt;/UID&gt;&lt;Title&gt;Methylation testing for the detection of recurrent cervical intraepithelial  neoplasia&lt;/Title&gt;&lt;Template&gt;Journal Article&lt;/Template&gt;&lt;Star&gt;0&lt;/Star&gt;&lt;Tag&gt;0&lt;/Tag&gt;&lt;Author&gt;Dick, S; Heideman, DAM; Mom, C H; Meijer, CJLM; Berkhof, J; Steenbergen, RDM; Bleeker, MCG&lt;/Author&gt;&lt;Year&gt;2023&lt;/Year&gt;&lt;Details&gt;&lt;_accession_num&gt;37539971&lt;/_accession_num&gt;&lt;_author_adr&gt;Department of Pathology, Amsterdam UMC, Location Vrije Universiteit Amsterdam,  Amsterdam, The Netherlands.; Cancer Center Amsterdam, Imaging and Biomarkers, Amsterdam, The Netherlands.; Department of Pathology, Amsterdam UMC, Location Vrije Universiteit Amsterdam,  Amsterdam, The Netherlands.; Cancer Center Amsterdam, Imaging and Biomarkers, Amsterdam, The Netherlands.; Cancer Center Amsterdam, Imaging and Biomarkers, Amsterdam, The Netherlands.; Department of Gynecological Oncology, Amsterdam UMC, Location University of  Amsterdam, Amsterdam, The Netherlands.; Department of Pathology, Amsterdam UMC, Location Vrije Universiteit Amsterdam,  Amsterdam, The Netherlands.; Cancer Center Amsterdam, Imaging and Biomarkers, Amsterdam, The Netherlands.; Cancer Center Amsterdam, Imaging and Biomarkers, Amsterdam, The Netherlands.; Department of Epidemiology and Data Science, Amsterdam UMC, Location Vrije  Universiteit Amsterdam, Amsterdam, The Netherlands.; Department of Pathology, Amsterdam UMC, Location Vrije Universiteit Amsterdam,  Amsterdam, The Netherlands.; Cancer Center Amsterdam, Imaging and Biomarkers, Amsterdam, The Netherlands.; Department of Pathology, Amsterdam UMC, Location Vrije Universiteit Amsterdam,  Amsterdam, The Netherlands.; Cancer Center Amsterdam, Imaging and Biomarkers, Amsterdam, The Netherlands.&lt;/_author_adr&gt;&lt;_date_display&gt;2023 Dec 15&lt;/_date_display&gt;&lt;_date&gt;2023-12-15&lt;/_date&gt;&lt;_doi&gt;10.1002/ijc.34678&lt;/_doi&gt;&lt;_isbn&gt;1097-0215 (Electronic); 0020-7136 (Linking)&lt;/_isbn&gt;&lt;_issue&gt;12&lt;/_issue&gt;&lt;_journal&gt;Int J Cancer&lt;/_journal&gt;&lt;_keywords&gt;DNA methylation; cervical cancer; high-grade CIN; posttreatment surveillance; recurrent CIN&lt;/_keywords&gt;&lt;_language&gt;eng&lt;/_language&gt;&lt;_ori_publication&gt;(c) 2023 The Authors. International Journal of Cancer published by John Wiley &amp;amp; _x000d__x000a_      Sons Ltd on behalf of UICC.&lt;/_ori_publication&gt;&lt;_pages&gt;2011-2018&lt;/_pages&gt;&lt;_subject_headings&gt;Humans; Female; *Papillomavirus Infections/diagnosis/genetics; *Uterine Cervical Dysplasia/diagnosis; *Uterine Cervical Neoplasms/diagnosis/genetics; Cervix Uteri; DNA Methylation; Papillomaviridae/genetics&lt;/_subject_headings&gt;&lt;_tertiary_title&gt;International journal of cancer&lt;/_tertiary_title&gt;&lt;_type_work&gt;Journal Article; Research Support, Non-U.S. Gov&amp;apos;t&lt;/_type_work&gt;&lt;_url&gt;http://www.ncbi.nlm.nih.gov/entrez/query.fcgi?cmd=Retrieve&amp;amp;db=pubmed&amp;amp;dopt=Abstract&amp;amp;list_uids=37539971&amp;amp;query_hl=1&lt;/_url&gt;&lt;_volume&gt;153&lt;/_volume&gt;&lt;_created&gt;65681155&lt;/_created&gt;&lt;_modified&gt;65681155&lt;/_modified&gt;&lt;_db_updated&gt;PubMed&lt;/_db_updated&gt;&lt;_impact_factor&gt;   7.316&lt;/_impact_factor&gt;&lt;_social_category&gt;医学(1)&lt;/_social_category&gt;&lt;_collection_scope&gt;SCIE&lt;/_collection_scope&gt;&lt;/Details&gt;&lt;Extra&gt;&lt;DBUID&gt;{C3DDB144-B9A5-4BD3-B74E-FCFC25704025}&lt;/DBUID&gt;&lt;/Extra&gt;&lt;/Item&gt;&lt;/References&gt;&lt;/Group&gt;&lt;/Citation&gt;_x000a_"/>
    <w:docVar w:name="NE.Ref{C5618036-7D76-403B-B8E5-A2E62BFF65C5}" w:val=" ADDIN NE.Ref.{C5618036-7D76-403B-B8E5-A2E62BFF65C5}&lt;Citation&gt;&lt;Group&gt;&lt;References&gt;&lt;Item&gt;&lt;ID&gt;695&lt;/ID&gt;&lt;UID&gt;{33FD4D8E-4FF3-411B-93BA-3AB468E486FC}&lt;/UID&gt;&lt;Title&gt;宫颈上皮内瘤变LEEP治疗后转归相关因素分析&lt;/Title&gt;&lt;Template&gt;Journal Article&lt;/Template&gt;&lt;Star&gt;0&lt;/Star&gt;&lt;Tag&gt;0&lt;/Tag&gt;&lt;Author/&gt;&lt;Year&gt;0&lt;/Year&gt;&lt;Details&gt;&lt;_language&gt;Chinese&lt;/_language&gt;&lt;_created&gt;66000866&lt;/_created&gt;&lt;_modified&gt;66000866&lt;/_modified&gt;&lt;/Details&gt;&lt;Extra&gt;&lt;DBUID&gt;{C3DDB144-B9A5-4BD3-B74E-FCFC25704025}&lt;/DBUID&gt;&lt;/Extra&gt;&lt;/Item&gt;&lt;/References&gt;&lt;/Group&gt;&lt;Group&gt;&lt;References&gt;&lt;Item&gt;&lt;ID&gt;699&lt;/ID&gt;&lt;UID&gt;{5FB1B865-3FF3-4A9A-9356-36D5AEDF6225}&lt;/UID&gt;&lt;Title&gt;Impact of colposcopy-guided carbon dioxide laser vaporization therapy on  peripheral cervical intraepithelial neoplasia lesions&lt;/Title&gt;&lt;Template&gt;Journal Article&lt;/Template&gt;&lt;Star&gt;0&lt;/Star&gt;&lt;Tag&gt;0&lt;/Tag&gt;&lt;Author&gt;Mariya, T; Nishikawa, A; Umemoto, M; Ogawa, S; Saito, T&lt;/Author&gt;&lt;Year&gt;2024&lt;/Year&gt;&lt;Details&gt;&lt;_accession_num&gt;39481991&lt;/_accession_num&gt;&lt;_author_adr&gt;Department of Obstetrics and Gynecology, Sapporo Medical University School of  Medicine, Sapporo, Japan.; Department of Obstetrics and Gynecology, Sapporo Medical University School of  Medicine, Sapporo, Japan; Nishikawa Women&amp;apos;s Health Clinic, Sapporo, Japan.  Electronic address: akiranishikawa@me.com.; Department of Obstetrics and Gynecology, Sapporo Medical University School of  Medicine, Sapporo, Japan.; Department of Obstetrics and Gynecology, Sapporo Medical University School of  Medicine, Sapporo, Japan.; Department of Obstetrics and Gynecology, Sapporo Medical University School of  Medicine, Sapporo, Japan.&lt;/_author_adr&gt;&lt;_date_display&gt;2024 Nov&lt;/_date_display&gt;&lt;_date&gt;2024-11-01&lt;/_date&gt;&lt;_doi&gt;10.1016/j.tjog.2024.06.012&lt;/_doi&gt;&lt;_isbn&gt;1875-6263 (Electronic); 1028-4559 (Linking)&lt;/_isbn&gt;&lt;_issue&gt;6&lt;/_issue&gt;&lt;_journal&gt;Taiwan J Obstet Gynecol&lt;/_journal&gt;&lt;_keywords&gt;Cervical intraepithelial neoplasia; Colposcopy-guided laser vaporization; Human papillomavirus&lt;/_keywords&gt;&lt;_language&gt;eng&lt;/_language&gt;&lt;_ori_publication&gt;Copyright (c) 2024. Published by Elsevier B.V.&lt;/_ori_publication&gt;&lt;_pages&gt;846-852&lt;/_pages&gt;&lt;_subject_headings&gt;Humans; Female; *Uterine Cervical Dysplasia/surgery/pathology; Retrospective Studies; *Lasers, Gas/therapeutic use; *Colposcopy/methods; Adult; *Uterine Cervical Neoplasms/surgery/pathology; *Laser Therapy/methods; Middle Aged; Treatment Outcome; Aged; Papillomavirus Infections/complications/surgery&lt;/_subject_headings&gt;&lt;_tertiary_title&gt;Taiwanese journal of obstetrics &amp;amp; gynecology&lt;/_tertiary_title&gt;&lt;_type_work&gt;Journal Article&lt;/_type_work&gt;&lt;_url&gt;http://www.ncbi.nlm.nih.gov/entrez/query.fcgi?cmd=Retrieve&amp;amp;db=pubmed&amp;amp;dopt=Abstract&amp;amp;list_uids=39481991&amp;amp;query_hl=1&lt;/_url&gt;&lt;_volume&gt;63&lt;/_volume&gt;&lt;_created&gt;66000879&lt;/_created&gt;&lt;_modified&gt;66000879&lt;/_modified&gt;&lt;_db_updated&gt;PubMed&lt;/_db_updated&gt;&lt;_impact_factor&gt;   1.944&lt;/_impact_factor&gt;&lt;_social_category&gt;医学(4)&lt;/_social_category&gt;&lt;_collection_scope&gt;SCIE&lt;/_collection_scope&gt;&lt;/Details&gt;&lt;Extra&gt;&lt;DBUID&gt;{C3DDB144-B9A5-4BD3-B74E-FCFC25704025}&lt;/DBUID&gt;&lt;/Extra&gt;&lt;/Item&gt;&lt;/References&gt;&lt;/Group&gt;&lt;/Citation&gt;_x000a_"/>
    <w:docVar w:name="NE.Ref{CDB0DB4A-2C9F-451E-B329-0CA4FF9AFB93}" w:val=" ADDIN NE.Ref.{CDB0DB4A-2C9F-451E-B329-0CA4FF9AFB93}&lt;Citation&gt;&lt;Group&gt;&lt;References&gt;&lt;Item&gt;&lt;ID&gt;698&lt;/ID&gt;&lt;UID&gt;{31A6BC3B-501E-4788-A01C-13C07245CCE7}&lt;/UID&gt;&lt;Title&gt;Treatment methods for cervical intraepithelial neoplasia in England: A  cost-effectiveness analysis&lt;/Title&gt;&lt;Template&gt;Journal Article&lt;/Template&gt;&lt;Star&gt;0&lt;/Star&gt;&lt;Tag&gt;0&lt;/Tag&gt;&lt;Author&gt;Tinelli, M; Athanasiou, A; Veroniki, A A; Efthimiou, O; Kalliala, I; Bowden, S; Paraskevaidi, M; Lyons, D; Martin-Hirsch, P; Bennett, P; Paraskevaidis, E; Salanti, G; Kyrgiou, M; Naci, H&lt;/Author&gt;&lt;Year&gt;2024&lt;/Year&gt;&lt;Details&gt;&lt;_accession_num&gt;38659133&lt;/_accession_num&gt;&lt;_author_adr&gt;Department of Health Policy, The London School of Economics and Political  Science, London, UK.; Care Policy Evaluation Centre, The London School of Economics and Political  Science, London, UK.; Department of Metabolism, Digestion and Reproduction - Surgery and Cancer,  Institute of Reproductive and Developmental Biology (IRDB), Imperial College  London, London, UK.; Institute for Health Policy, Management and Evaluation, University of Toronto,  Toronto, Ontario, Canada.; Knowledge Translation Program, Li Ka Shing Knowledge Institute, St. Michael&amp;apos;s  Hospital, Unity Health Toronto, Toronto, Ontario, Canada.; Institute of Social and Preventive Medicine (ISPM), University of Bern, Bern,  Switzerland.; Institute of Primary Health Care (BIHAM), University of Bern, Bern, Switzerland.; Department of Metabolism, Digestion and Reproduction - Surgery and Cancer,  Institute of Reproductive and Developmental Biology (IRDB), Imperial College  London, London, UK.; Department of Obstetrics and Gynaecology, University of Helsinki and Helsinki  University Hospital, Helsinki, Finland.; Department of Metabolism, Digestion and Reproduction - Surgery and Cancer,  Institute of Reproductive and Developmental Biology (IRDB), Imperial College  London, London, UK.; Department of Obstetrics and Gynaecology, Imperial College Healthcare NHS Trust,  London, UK.; Department of Metabolism, Digestion and Reproduction - Surgery and Cancer,  Institute of Reproductive and Developmental Biology (IRDB), Imperial College  London, London, UK.; Department of Obstetrics and Gynaecology, Imperial College Healthcare NHS Trust,  London, UK.; Department of Gynaecologic Oncology, Lancashire Teaching Hospitals, Preston, UK.; Department of Metabolism, Digestion and Reproduction - Surgery and Cancer,  Institute of Reproductive and Developmental Biology (IRDB), Imperial College  London, London, UK.; Department of Obstetrics and Gynaecology, Imperial College Healthcare NHS Trust,  London, UK.; Department of Obstetrics and Gynaecology, Imperial College Healthcare NHS Trust,  London, UK.; Department of Obstetrics and Gynaecology, University of Ioannina and University  Hospital of Ioannina, Ioannina, Greece.; Institute of Social and Preventive Medicine (ISPM), University of Bern, Bern,  Switzerland.; Department of Metabolism, Digestion and Reproduction - Surgery and Cancer,  Institute of Reproductive and Developmental Biology (IRDB), Imperial College  London, London, UK.; Department of Obstetrics and Gynaecology, Imperial College Healthcare NHS Trust,  London, UK.; Department of Health Policy, The London School of Economics and Political  Science, London, UK.&lt;/_author_adr&gt;&lt;_date_display&gt;2024 Sep&lt;/_date_display&gt;&lt;_date&gt;2024-09-01&lt;/_date&gt;&lt;_doi&gt;10.1111/1471-0528.17829&lt;/_doi&gt;&lt;_isbn&gt;1471-0528 (Electronic); 1470-0328 (Linking)&lt;/_isbn&gt;&lt;_issue&gt;10&lt;/_issue&gt;&lt;_journal&gt;BJOG&lt;/_journal&gt;&lt;_keywords&gt;LLETZ; ablation; conisation; cost-effectiveness; excision; preterm birth; recurrence&lt;/_keywords&gt;&lt;_language&gt;eng&lt;/_language&gt;&lt;_ori_publication&gt;(c) 2024 The Authors. BJOG: An International Journal of Obstetrics and Gynaecology _x000d__x000a_      published by John Wiley &amp;amp; Sons Ltd.&lt;/_ori_publication&gt;&lt;_pages&gt;1411-1419&lt;/_pages&gt;&lt;_subject_headings&gt;Adult; Female; Humans; Middle Aged; Pregnancy; Young Adult; Colposcopy/economics; Conization/economics; *Cost-Effectiveness Analysis; England; Neoplasm Recurrence, Local/economics; Premature Birth/economics/epidemiology; Treatment Outcome; *Uterine Cervical Dysplasia/economics/surgery/therapy; *Uterine Cervical Neoplasms/economics/therapy/surgery&lt;/_subject_headings&gt;&lt;_tertiary_title&gt;BJOG : an international journal of obstetrics and gynaecology&lt;/_tertiary_title&gt;&lt;_type_work&gt;Comparative Study; Journal Article&lt;/_type_work&gt;&lt;_url&gt;http://www.ncbi.nlm.nih.gov/entrez/query.fcgi?cmd=Retrieve&amp;amp;db=pubmed&amp;amp;dopt=Abstract&amp;amp;list_uids=38659133&amp;amp;query_hl=1&lt;/_url&gt;&lt;_volume&gt;131&lt;/_volume&gt;&lt;_created&gt;66000877&lt;/_created&gt;&lt;_modified&gt;66000877&lt;/_modified&gt;&lt;_db_updated&gt;PubMed&lt;/_db_updated&gt;&lt;_impact_factor&gt;   7.331&lt;/_impact_factor&gt;&lt;_social_category&gt;医学(1)&lt;/_social_category&gt;&lt;_collection_scope&gt;SCIE&lt;/_collection_scope&gt;&lt;/Details&gt;&lt;Extra&gt;&lt;DBUID&gt;{C3DDB144-B9A5-4BD3-B74E-FCFC25704025}&lt;/DBUID&gt;&lt;/Extra&gt;&lt;/Item&gt;&lt;/References&gt;&lt;/Group&gt;&lt;/Citation&gt;_x000a_"/>
    <w:docVar w:name="NE.Ref{CF277FBD-6504-4AE5-9A78-F90F0CDC915D}" w:val=" ADDIN NE.Ref.{CF277FBD-6504-4AE5-9A78-F90F0CDC915D}&lt;Citation&gt;&lt;Group&gt;&lt;References&gt;&lt;Item&gt;&lt;ID&gt;672&lt;/ID&gt;&lt;UID&gt;{DAB1BA63-B3A9-4CA2-9533-76DDB2D3CC4B}&lt;/UID&gt;&lt;Title&gt;Global cancer statistics 2022: GLOBOCAN estimates of incidence and mortality  worldwide for 36 cancers in 185 countries&lt;/Title&gt;&lt;Template&gt;Journal Article&lt;/Template&gt;&lt;Star&gt;0&lt;/Star&gt;&lt;Tag&gt;0&lt;/Tag&gt;&lt;Author&gt;Bray, F; Laversanne, M; Sung, H; Ferlay, J; Siegel, R L; Soerjomataram, I; Jemal, A&lt;/Author&gt;&lt;Year&gt;2024&lt;/Year&gt;&lt;Details&gt;&lt;_accession_num&gt;38572751&lt;/_accession_num&gt;&lt;_author_adr&gt;Cancer Surveillance Branch, International Agency for Research on Cancer, Lyon,  France.; Cancer Surveillance Branch, International Agency for Research on Cancer, Lyon,  France.; Surveillance and Health Equity Science, American Cancer Society, Atlanta,  Georgia, USA.; Cancer Surveillance Branch, International Agency for Research on Cancer, Lyon,  France.; Surveillance and Health Equity Science, American Cancer Society, Atlanta,  Georgia, USA.; Cancer Surveillance Branch, International Agency for Research on Cancer, Lyon,  France.; Surveillance and Health Equity Science, American Cancer Society, Atlanta,  Georgia, USA.&lt;/_author_adr&gt;&lt;_date_display&gt;2024 May-Jun&lt;/_date_display&gt;&lt;_date&gt;2024-05-01&lt;/_date&gt;&lt;_doi&gt;10.3322/caac.21834&lt;/_doi&gt;&lt;_isbn&gt;1542-4863 (Electronic); 0007-9235 (Linking)&lt;/_isbn&gt;&lt;_issue&gt;3&lt;/_issue&gt;&lt;_journal&gt;CA Cancer J Clin&lt;/_journal&gt;&lt;_keywords&gt;cancer burden; cancer control; epidemiology; incidence; mortality&lt;/_keywords&gt;&lt;_language&gt;eng&lt;/_language&gt;&lt;_ori_publication&gt;(c) 2024 The Authors. CA: A Cancer Journal for Clinicians published by Wiley _x000d__x000a_      Periodicals LLC on behalf of American Cancer Society.&lt;/_ori_publication&gt;&lt;_pages&gt;229-263&lt;/_pages&gt;&lt;_subject_headings&gt;Humans; *Neoplasms/epidemiology/mortality; Male; Female; Incidence; *Global Health/statistics &amp;amp; numerical data; Adult; Middle Aged; Aged; Child; Adolescent; Child, Preschool; Infant; Young Adult; Sex Distribution; Infant, Newborn; Aged, 80 and over&lt;/_subject_headings&gt;&lt;_tertiary_title&gt;CA: a cancer journal for clinicians&lt;/_tertiary_title&gt;&lt;_type_work&gt;Journal Article; Research Support, Non-U.S. Gov&amp;apos;t&lt;/_type_work&gt;&lt;_url&gt;http://www.ncbi.nlm.nih.gov/entrez/query.fcgi?cmd=Retrieve&amp;amp;db=pubmed&amp;amp;dopt=Abstract&amp;amp;list_uids=38572751&amp;amp;query_hl=1&lt;/_url&gt;&lt;_volume&gt;74&lt;/_volume&gt;&lt;_created&gt;65681101&lt;/_created&gt;&lt;_modified&gt;65681101&lt;/_modified&gt;&lt;_db_updated&gt;PubMed&lt;/_db_updated&gt;&lt;_impact_factor&gt; 286.130&lt;/_impact_factor&gt;&lt;_social_category&gt;医学(1)&lt;/_social_category&gt;&lt;_collection_scope&gt;SCIE&lt;/_collection_scope&gt;&lt;/Details&gt;&lt;Extra&gt;&lt;DBUID&gt;{C3DDB144-B9A5-4BD3-B74E-FCFC25704025}&lt;/DBUID&gt;&lt;/Extra&gt;&lt;/Item&gt;&lt;/References&gt;&lt;/Group&gt;&lt;/Citation&gt;_x000a_"/>
    <w:docVar w:name="NE.Ref{D0B74E7E-4C25-4866-94C8-C26AE81D42E8}" w:val=" ADDIN NE.Ref.{D0B74E7E-4C25-4866-94C8-C26AE81D42E8}&lt;Citation&gt;&lt;Group&gt;&lt;References&gt;&lt;Item&gt;&lt;ID&gt;686&lt;/ID&gt;&lt;UID&gt;{DD9EA1C2-3501-4548-9A43-6E3E9924AF87}&lt;/UID&gt;&lt;Title&gt;Thermal Ablation Treatment for Cervical Precancer (Cervical Intraepithelial  Neoplasia Grade 2 or Higher [CIN2+])&lt;/Title&gt;&lt;Template&gt;Journal Article&lt;/Template&gt;&lt;Star&gt;0&lt;/Star&gt;&lt;Tag&gt;0&lt;/Tag&gt;&lt;Author&gt;Soler, M; Masch, R; Saidu, R; Cremer, M&lt;/Author&gt;&lt;Year&gt;2022&lt;/Year&gt;&lt;Details&gt;&lt;_accession_num&gt;35094363&lt;/_accession_num&gt;&lt;_author_adr&gt;Ob/Gyn and Women&amp;apos;s Health Institute, Cleveland Clinic, Cleveland, OH, USA.  solerm@ccf.org.; Basic Health International, Pittsburgh, PA, USA. solerm@ccf.org.; Basic Health International, Pittsburgh, PA, USA.; Department of Obstetrics and Gynaecology, University of Cape Town, Cape Town,  South Africa.; Ob/Gyn and Women&amp;apos;s Health Institute, Cleveland Clinic, Cleveland, OH, USA.; Basic Health International, Pittsburgh, PA, USA.&lt;/_author_adr&gt;&lt;_date_display&gt;2022&lt;/_date_display&gt;&lt;_date&gt;2022-01-20&lt;/_date&gt;&lt;_doi&gt;10.1007/978-1-0716-1811-0_46&lt;/_doi&gt;&lt;_isbn&gt;1940-6029 (Electronic); 1064-3745 (Linking)&lt;/_isbn&gt;&lt;_journal&gt;Methods Mol Biol&lt;/_journal&gt;&lt;_keywords&gt;CIN2+; Cervical intraepithelial neoplasia; Cervical precancer; Cold coagulation; LMIC; Thermal ablation; Thermocoagulation&lt;/_keywords&gt;&lt;_language&gt;eng&lt;/_language&gt;&lt;_ori_publication&gt;(c) 2022. The Author(s), under exclusive license to Springer Science+Business _x000d__x000a_      Media, LLC, part of Springer Nature.&lt;/_ori_publication&gt;&lt;_pages&gt;867-882&lt;/_pages&gt;&lt;_subject_headings&gt;*Ablation Techniques; Female; Hot Temperature; Humans; *Uterine Cervical Neoplasms/surgery; *Uterine Cervical Dysplasia/surgery&lt;/_subject_headings&gt;&lt;_tertiary_title&gt;Methods in molecular biology (Clifton, N.J.)&lt;/_tertiary_title&gt;&lt;_type_work&gt;Journal Article; Review&lt;/_type_work&gt;&lt;_url&gt;http://www.ncbi.nlm.nih.gov/entrez/query.fcgi?cmd=Retrieve&amp;amp;db=pubmed&amp;amp;dopt=Abstract&amp;amp;list_uids=35094363&amp;amp;query_hl=1&lt;/_url&gt;&lt;_volume&gt;2394&lt;/_volume&gt;&lt;_created&gt;65681139&lt;/_created&gt;&lt;_modified&gt;65681140&lt;/_modified&gt;&lt;_db_updated&gt;PubMed&lt;/_db_updated&gt;&lt;/Details&gt;&lt;Extra&gt;&lt;DBUID&gt;{C3DDB144-B9A5-4BD3-B74E-FCFC25704025}&lt;/DBUID&gt;&lt;/Extra&gt;&lt;/Item&gt;&lt;/References&gt;&lt;/Group&gt;&lt;/Citation&gt;_x000a_"/>
    <w:docVar w:name="NE.Ref{DDB83691-BBDF-435B-B384-C719DA7E6B90}" w:val=" ADDIN NE.Ref.{DDB83691-BBDF-435B-B384-C719DA7E6B90}&lt;Citation&gt;&lt;Group&gt;&lt;References&gt;&lt;Item&gt;&lt;ID&gt;702&lt;/ID&gt;&lt;UID&gt;{F7D894B3-5CBF-44E5-A225-5B66A0081D2E}&lt;/UID&gt;&lt;Title&gt;Prognostic outcomes and risk factors for recurrence after laser vaporization for  cervical intraepithelial neoplasia: a single-center retrospective study&lt;/Title&gt;&lt;Template&gt;Journal Article&lt;/Template&gt;&lt;Star&gt;0&lt;/Star&gt;&lt;Tag&gt;0&lt;/Tag&gt;&lt;Author&gt;Kodama, K; Yahata, H; Okugawa, K; Tomonobe, H; Yasutake, N; Yoshida, S; Yagi, H; Yasunaga, M; Ohgami, T; Onoyama, I; Asanoma, K; Hori, E; Shimokawa, M; Kato, K&lt;/Author&gt;&lt;Year&gt;2021&lt;/Year&gt;&lt;Details&gt;&lt;_accession_num&gt;33394202&lt;/_accession_num&gt;&lt;_author_adr&gt;Department of Obstetrics and Gynecology, Graduate School of Medical Sciences,  Kyushu University, 3-1-1 Maidashi, Higashi-ku, Fukuoka, 812-8582, Japan.; Department of Obstetrics and Gynecology, Graduate School of Medical Sciences,  Kyushu University, 3-1-1 Maidashi, Higashi-ku, Fukuoka, 812-8582, Japan.  hyahata@med.kyushu-u.ac.jp.; Department of Obstetrics and Gynecology, Graduate School of Medical Sciences,  Kyushu University, 3-1-1 Maidashi, Higashi-ku, Fukuoka, 812-8582, Japan.; Department of Obstetrics and Gynecology, Graduate School of Medical Sciences,  Kyushu University, 3-1-1 Maidashi, Higashi-ku, Fukuoka, 812-8582, Japan.; Department of Obstetrics and Gynecology, Graduate School of Medical Sciences,  Kyushu University, 3-1-1 Maidashi, Higashi-ku, Fukuoka, 812-8582, Japan.; Department of Obstetrics and Gynecology, Graduate School of Medical Sciences,  Kyushu University, 3-1-1 Maidashi, Higashi-ku, Fukuoka, 812-8582, Japan.; Department of Obstetrics and Gynecology, Graduate School of Medical Sciences,  Kyushu University, 3-1-1 Maidashi, Higashi-ku, Fukuoka, 812-8582, Japan.; Department of Obstetrics and Gynecology, Graduate School of Medical Sciences,  Kyushu University, 3-1-1 Maidashi, Higashi-ku, Fukuoka, 812-8582, Japan.; Department of Obstetrics and Gynecology, Graduate School of Medical Sciences,  Kyushu University, 3-1-1 Maidashi, Higashi-ku, Fukuoka, 812-8582, Japan.; Department of Obstetrics and Gynecology, Graduate School of Medical Sciences,  Kyushu University, 3-1-1 Maidashi, Higashi-ku, Fukuoka, 812-8582, Japan.; Department of Obstetrics and Gynecology, Graduate School of Medical Sciences,  Kyushu University, 3-1-1 Maidashi, Higashi-ku, Fukuoka, 812-8582, Japan.; Department of Obstetrics and Gynecology, Graduate School of Medical Sciences,  Kyushu University, 3-1-1 Maidashi, Higashi-ku, Fukuoka, 812-8582, Japan.; Department of Biostatistics, Graduate School of Medicine, Yamaguchi University,  1-1-1 Minamikogushi, Ube, Yamaguchi, 755-8505, Japan.; Department of Obstetrics and Gynecology, Graduate School of Medical Sciences,  Kyushu University, 3-1-1 Maidashi, Higashi-ku, Fukuoka, 812-8582, Japan.&lt;/_author_adr&gt;&lt;_date_display&gt;2021 Apr&lt;/_date_display&gt;&lt;_date&gt;2021-04-01&lt;/_date&gt;&lt;_doi&gt;10.1007/s10147-020-01848-x&lt;/_doi&gt;&lt;_isbn&gt;1437-7772 (Electronic); 1341-9625 (Linking)&lt;/_isbn&gt;&lt;_issue&gt;4&lt;/_issue&gt;&lt;_journal&gt;Int J Clin Oncol&lt;/_journal&gt;&lt;_keywords&gt;Cervical intraepithelial neoplasia; Laser vaporization; Recurrence-free interval&lt;/_keywords&gt;&lt;_language&gt;eng&lt;/_language&gt;&lt;_pages&gt;770-776&lt;/_pages&gt;&lt;_subject_headings&gt;Adolescent; Adult; Aged; Female; Follow-Up Studies; Humans; *Laser Therapy; Middle Aged; Neoplasm Recurrence, Local/surgery; Papillomaviridae; *Papillomavirus Infections; Prognosis; Retrospective Studies; Risk Factors; *Uterine Cervical Neoplasms/surgery; Young Adult; *Uterine Cervical Dysplasia/surgery&lt;/_subject_headings&gt;&lt;_tertiary_title&gt;International journal of clinical oncology&lt;/_tertiary_title&gt;&lt;_type_work&gt;Journal Article&lt;/_type_work&gt;&lt;_url&gt;http://www.ncbi.nlm.nih.gov/entrez/query.fcgi?cmd=Retrieve&amp;amp;db=pubmed&amp;amp;dopt=Abstract&amp;amp;list_uids=33394202&amp;amp;query_hl=1&lt;/_url&gt;&lt;_volume&gt;26&lt;/_volume&gt;&lt;_created&gt;66000895&lt;/_created&gt;&lt;_modified&gt;66000895&lt;/_modified&gt;&lt;_db_updated&gt;PubMed&lt;/_db_updated&gt;&lt;_impact_factor&gt;   3.850&lt;/_impact_factor&gt;&lt;_social_category&gt;医学(3)&lt;/_social_category&gt;&lt;_collection_scope&gt;SCIE&lt;/_collection_scope&gt;&lt;/Details&gt;&lt;Extra&gt;&lt;DBUID&gt;{C3DDB144-B9A5-4BD3-B74E-FCFC25704025}&lt;/DBUID&gt;&lt;/Extra&gt;&lt;/Item&gt;&lt;/References&gt;&lt;/Group&gt;&lt;/Citation&gt;_x000a_"/>
    <w:docVar w:name="NE.Ref{E14E3327-2F67-41CE-B46E-D88F236A5D7D}" w:val=" ADDIN NE.Ref.{E14E3327-2F67-41CE-B46E-D88F236A5D7D}&lt;Citation&gt;&lt;Group&gt;&lt;References&gt;&lt;Item&gt;&lt;ID&gt;681&lt;/ID&gt;&lt;UID&gt;{E574CDB8-C478-48EA-BA9C-4C2393ACD636}&lt;/UID&gt;&lt;Title&gt;CIN2+患者高危型HPV感染情况及治疗方法分析&lt;/Title&gt;&lt;Template&gt;Journal Article&lt;/Template&gt;&lt;Star&gt;0&lt;/Star&gt;&lt;Tag&gt;0&lt;/Tag&gt;&lt;Author&gt;李建华; 李迎; 耿文荣; 李莉; 郭克&lt;/Author&gt;&lt;Year&gt;2019&lt;/Year&gt;&lt;Details&gt;&lt;_author_adr&gt;山东省滨州市妇幼保健院; 山东省滨州市滨城区区直机关医院&lt;/_author_adr&gt;&lt;_author_aff&gt;山东省滨州市妇幼保健院; 山东省滨州市滨城区区直机关医院&lt;/_author_aff&gt;&lt;_created&gt;65681123&lt;/_created&gt;&lt;_db_provider&gt;北京万方数据股份有限公司&lt;/_db_provider&gt;&lt;_db_updated&gt;Wanfangdata&lt;/_db_updated&gt;&lt;_doi&gt;10.11877/j.issn.1672-1535.2019.17.11.29&lt;/_doi&gt;&lt;_isbn&gt;1672-1535&lt;/_isbn&gt;&lt;_issue&gt;11&lt;/_issue&gt;&lt;_journal&gt;癌症进展&lt;/_journal&gt;&lt;_keywords&gt;人乳头瘤病毒; 宫颈上皮内瘤变; 宫颈原位癌; 危险因素&lt;/_keywords&gt;&lt;_language&gt;chi&lt;/_language&gt;&lt;_modified&gt;65681123&lt;/_modified&gt;&lt;_pages&gt;1347-1350&lt;/_pages&gt;&lt;_tertiary_title&gt;Oncology Progress&lt;/_tertiary_title&gt;&lt;_translated_author&gt;Jianhua, L I; Ying, L I; Wenrong, GENG; Li, L I; Ke, GUO&lt;/_translated_author&gt;&lt;_translated_title&gt;Analysis of high-risk HPV infection and treatment in patients with CIN2+&lt;/_translated_title&gt;&lt;_url&gt;https://d.wanfangdata.com.cn/periodical/Ch9QZXJpb2RpY2FsQ0hJTmV3UzIwMjQxMTA1MTcxMzA0Eg1hemp6MjAxOTExMDI5Ggh6d3Jxang2ag%3D%3D&lt;/_url&gt;&lt;_volume&gt;17&lt;/_volume&gt;&lt;/Details&gt;&lt;Extra&gt;&lt;DBUID&gt;{C3DDB144-B9A5-4BD3-B74E-FCFC25704025}&lt;/DBUID&gt;&lt;/Extra&gt;&lt;/Item&gt;&lt;/References&gt;&lt;/Group&gt;&lt;/Citation&gt;_x000a_"/>
    <w:docVar w:name="NE.Ref{E1FE5414-29B2-462A-B392-2DF18833A687}" w:val=" ADDIN NE.Ref.{E1FE5414-29B2-462A-B392-2DF18833A687}&lt;Citation&gt;&lt;Group&gt;&lt;References&gt;&lt;Item&gt;&lt;ID&gt;673&lt;/ID&gt;&lt;UID&gt;{D65C9C29-8C0A-42C2-829B-30E15BABCA1A}&lt;/UID&gt;&lt;Title&gt;Estimated Number of Cases of High-Grade Cervical Lesions Diagnosed Among Women -  United States, 2008 and 2016&lt;/Title&gt;&lt;Template&gt;Journal Article&lt;/Template&gt;&lt;Star&gt;0&lt;/Star&gt;&lt;Tag&gt;0&lt;/Tag&gt;&lt;Author&gt;McClung, N M; Gargano, J W; Park, I U; Whitney, E; Abdullah, N; Ehlers, S; Bennett, N M; Scahill, M; Niccolai, L M; Brackney, M; Griffin, M R; Pemmaraju, M; Querec, T D; Cleveland, A A; Unger, E R; Markowitz, L E&lt;/Author&gt;&lt;Year&gt;2019&lt;/Year&gt;&lt;Details&gt;&lt;_accession_num&gt;30998672&lt;/_accession_num&gt;&lt;_date_display&gt;2019 Apr 19&lt;/_date_display&gt;&lt;_date&gt;2019-04-19&lt;/_date&gt;&lt;_doi&gt;10.15585/mmwr.mm6815a1&lt;/_doi&gt;&lt;_isbn&gt;1545-861X (Electronic); 0149-2195 (Print); 0149-2195 (Linking)&lt;/_isbn&gt;&lt;_issue&gt;15&lt;/_issue&gt;&lt;_journal&gt;MMWR Morb Mortal Wkly Rep&lt;/_journal&gt;&lt;_language&gt;eng&lt;/_language&gt;&lt;_pages&gt;337-343&lt;/_pages&gt;&lt;_subject_headings&gt;Adolescent; Adult; Aged; Female; Humans; Middle Aged; Neoplasm Grading; Papillomavirus Vaccines/administration &amp;amp; dosage; United States/epidemiology; Uterine Cervical Neoplasms/*diagnosis/*epidemiology; Young Adult&lt;/_subject_headings&gt;&lt;_tertiary_title&gt;MMWR. Morbidity and mortality weekly report&lt;/_tertiary_title&gt;&lt;_type_work&gt;Journal Article&lt;/_type_work&gt;&lt;_url&gt;http://www.ncbi.nlm.nih.gov/entrez/query.fcgi?cmd=Retrieve&amp;amp;db=pubmed&amp;amp;dopt=Abstract&amp;amp;list_uids=30998672&amp;amp;query_hl=1&lt;/_url&gt;&lt;_volume&gt;68&lt;/_volume&gt;&lt;_created&gt;65681106&lt;/_created&gt;&lt;_modified&gt;65681106&lt;/_modified&gt;&lt;_db_updated&gt;PubMed&lt;/_db_updated&gt;&lt;_impact_factor&gt;  35.301&lt;/_impact_factor&gt;&lt;_social_category&gt;医学(1)&lt;/_social_category&gt;&lt;_collection_scope&gt;SCIE&lt;/_collection_scope&gt;&lt;/Details&gt;&lt;Extra&gt;&lt;DBUID&gt;{C3DDB144-B9A5-4BD3-B74E-FCFC25704025}&lt;/DBUID&gt;&lt;/Extra&gt;&lt;/Item&gt;&lt;/References&gt;&lt;/Group&gt;&lt;/Citation&gt;_x000a_"/>
    <w:docVar w:name="NE.Ref{E5E54D37-A754-4BF7-AAA5-D9484D045B54}" w:val=" ADDIN NE.Ref.{E5E54D37-A754-4BF7-AAA5-D9484D045B54}&lt;Citation&gt;&lt;Group&gt;&lt;References&gt;&lt;Item&gt;&lt;ID&gt;679&lt;/ID&gt;&lt;UID&gt;{83A6DF1E-4870-4A07-91AC-80A9A4ADA088}&lt;/UID&gt;&lt;Title&gt;不同浓度5-氨基酮戊酸光动力疗法治疗CIN1/2伴HR-HPV感染患者的效果比较&lt;/Title&gt;&lt;Template&gt;Journal Article&lt;/Template&gt;&lt;Star&gt;0&lt;/Star&gt;&lt;Tag&gt;0&lt;/Tag&gt;&lt;Author&gt;涂红琴; 吴伟庆; 张婕; 孙文洁; 史可俊&lt;/Author&gt;&lt;Year&gt;2020&lt;/Year&gt;&lt;Details&gt;&lt;_author_adr&gt;江苏省宜兴市人民医院&lt;/_author_adr&gt;&lt;_author_aff&gt;江苏省宜兴市人民医院&lt;/_author_aff&gt;&lt;_created&gt;65681121&lt;/_created&gt;&lt;_db_provider&gt;北京万方数据股份有限公司&lt;/_db_provider&gt;&lt;_db_updated&gt;Wanfangdata&lt;/_db_updated&gt;&lt;_isbn&gt;1673-7210&lt;/_isbn&gt;&lt;_issue&gt;35&lt;/_issue&gt;&lt;_journal&gt;中国医药导报&lt;/_journal&gt;&lt;_keywords&gt;高浓度; 低浓度; 5-氨基酮戊酸; 光动力疗法; 宫颈上皮内瘤变1/2; 高危型人乳头状瘤病毒; 临床疗效&lt;/_keywords&gt;&lt;_language&gt;chi&lt;/_language&gt;&lt;_modified&gt;65681121&lt;/_modified&gt;&lt;_pages&gt;123-126&lt;/_pages&gt;&lt;_tertiary_title&gt;China Medical Herald&lt;/_tertiary_title&gt;&lt;_translated_author&gt;Hongqin, T U; Weiqing, W U; Jie, ZHANG; Wenjie, SUN; Kejun, SHI&lt;/_translated_author&gt;&lt;_translated_title&gt;Comparison on the effect of photodynamic therapy with different concen-trations of 5-aminolevulinic acid in the treatment of CIN1/2 patients with HR-HPV infection&lt;/_translated_title&gt;&lt;_url&gt;https://d.wanfangdata.com.cn/periodical/Ch9QZXJpb2RpY2FsQ0hJTmV3UzIwMjQxMTA1MTcxMzA0Eg95eWN5engyMDIwMzUwMzIaCHB4cTJxbnd1&lt;/_url&gt;&lt;_volume&gt;17&lt;/_volume&gt;&lt;/Details&gt;&lt;Extra&gt;&lt;DBUID&gt;{C3DDB144-B9A5-4BD3-B74E-FCFC25704025}&lt;/DBUID&gt;&lt;/Extra&gt;&lt;/Item&gt;&lt;/References&gt;&lt;/Group&gt;&lt;Group&gt;&lt;References&gt;&lt;Item&gt;&lt;ID&gt;701&lt;/ID&gt;&lt;UID&gt;{F91923A1-41BE-4A03-ACCA-861792253008}&lt;/UID&gt;&lt;Title&gt;A pilot study of repeated 5-aminolevulinic acid photodynamic therapy for cervical  intraepithelial neoplasia by a newly developed intravaginal irradiation system&lt;/Title&gt;&lt;Template&gt;Journal Article&lt;/Template&gt;&lt;Star&gt;0&lt;/Star&gt;&lt;Tag&gt;0&lt;/Tag&gt;&lt;Author&gt;Hisamatsu, Y; Kita, M; Yokoe, T; Butsuhara, Y; Okada, H&lt;/Author&gt;&lt;Year&gt;2023&lt;/Year&gt;&lt;Details&gt;&lt;_accession_num&gt;37327956&lt;/_accession_num&gt;&lt;_author_adr&gt;Obstetrics and Gynecology, Kansai Medical University, Shinmachi 2-5-1, Hirakata,  Osaka, Japan.; Obstetrics and Gynecology, Kansai Medical University, Shinmachi 2-5-1, Hirakata,  Osaka, Japan. Electronic address: kitamas@hirakata.kmu.ac.jp.; Obstetrics and Gynecology, Kansai Medical University, Shinmachi 2-5-1, Hirakata,  Osaka, Japan.; Obstetrics and Gynecology, Kansai Medical University, Shinmachi 2-5-1, Hirakata,  Osaka, Japan.; Obstetrics and Gynecology, Kansai Medical University, Shinmachi 2-5-1, Hirakata,  Osaka, Japan.&lt;/_author_adr&gt;&lt;_date_display&gt;2023 Sep&lt;/_date_display&gt;&lt;_date&gt;2023-09-01&lt;/_date&gt;&lt;_doi&gt;10.1016/j.pdpdt.2023.103655&lt;/_doi&gt;&lt;_isbn&gt;1873-1597 (Electronic); 1572-1000 (Linking)&lt;/_isbn&gt;&lt;_journal&gt;Photodiagnosis Photodyn Ther&lt;/_journal&gt;&lt;_keywords&gt;5-Aminolevulinic acid (5-ALA); Anti-hpv antibody; Photodynamic therapy (PDT); cervical intraepithelial neoplasia (CIN); pneumovaginoscopy&lt;/_keywords&gt;&lt;_language&gt;eng&lt;/_language&gt;&lt;_ori_publication&gt;Copyright (c) 2023 Elsevier B.V. All rights reserved.&lt;/_ori_publication&gt;&lt;_pages&gt;103655&lt;/_pages&gt;&lt;_subject_headings&gt;Female; Humans; Aminolevulinic Acid/therapeutic use; Photosensitizing Agents/therapeutic use; Pilot Projects; *Photochemotherapy/methods; *Papillomavirus Infections/drug therapy; *Uterine Cervical Neoplasms/drug therapy/radiotherapy; *Uterine Cervical Dysplasia&lt;/_subject_headings&gt;&lt;_tertiary_title&gt;Photodiagnosis and photodynamic therapy&lt;/_tertiary_title&gt;&lt;_type_work&gt;Journal Article&lt;/_type_work&gt;&lt;_url&gt;http://www.ncbi.nlm.nih.gov/entrez/query.fcgi?cmd=Retrieve&amp;amp;db=pubmed&amp;amp;dopt=Abstract&amp;amp;list_uids=37327956&amp;amp;query_hl=1&lt;/_url&gt;&lt;_volume&gt;43&lt;/_volume&gt;&lt;_created&gt;66000888&lt;/_created&gt;&lt;_modified&gt;66000888&lt;/_modified&gt;&lt;_db_updated&gt;PubMed&lt;/_db_updated&gt;&lt;_impact_factor&gt;   3.577&lt;/_impact_factor&gt;&lt;_social_category&gt;医学(3)&lt;/_social_category&gt;&lt;_collection_scope&gt;SCIE&lt;/_collection_scope&gt;&lt;/Details&gt;&lt;Extra&gt;&lt;DBUID&gt;{C3DDB144-B9A5-4BD3-B74E-FCFC25704025}&lt;/DBUID&gt;&lt;/Extra&gt;&lt;/Item&gt;&lt;/References&gt;&lt;/Group&gt;&lt;Group&gt;&lt;References&gt;&lt;Item&gt;&lt;ID&gt;705&lt;/ID&gt;&lt;UID&gt;{989354DA-72FE-400F-9412-D99D7EDBCF12}&lt;/UID&gt;&lt;Title&gt;5-aminolevulinic acid-mediated photodynamic therapy effectively ameliorates  HPV-infected cervical intraepithelial neoplasia&lt;/Title&gt;&lt;Template&gt;Journal Article&lt;/Template&gt;&lt;Star&gt;0&lt;/Star&gt;&lt;Tag&gt;0&lt;/Tag&gt;&lt;Author&gt;Chen, Y; Xu, Y; Zhang, Z; Xiong, Z; Wu, D&lt;/Author&gt;&lt;Year&gt;2022&lt;/Year&gt;&lt;Details&gt;&lt;_accession_num&gt;35559391&lt;/_accession_num&gt;&lt;_author_adr&gt;Cervical Center of The International Peace Maternity &amp;amp; Child Health Hospital of  China Welfare Institute Shanghai 200030, China.; Cervical Center of The International Peace Maternity &amp;amp; Child Health Hospital of  China Welfare Institute Shanghai 200030, China.; Cervical Center of The International Peace Maternity &amp;amp; Child Health Hospital of  China Welfare Institute Shanghai 200030, China.; Cervical Center of The International Peace Maternity &amp;amp; Child Health Hospital of  China Welfare Institute Shanghai 200030, China.; Cervical Center of The International Peace Maternity &amp;amp; Child Health Hospital of  China Welfare Institute Shanghai 200030, China.&lt;/_author_adr&gt;&lt;_date_display&gt;2022&lt;/_date_display&gt;&lt;_date&gt;2022-01-20&lt;/_date&gt;&lt;_isbn&gt;1943-8141 (Print); 1943-8141 (Electronic); 1943-8141 (Linking)&lt;/_isbn&gt;&lt;_issue&gt;4&lt;/_issue&gt;&lt;_journal&gt;Am J Transl Res&lt;/_journal&gt;&lt;_keywords&gt;Cervical intraepithelial neoplasia; HPV infection; laser surgery; photodynamic therapy&lt;/_keywords&gt;&lt;_language&gt;eng&lt;/_language&gt;&lt;_ori_publication&gt;AJTR Copyright (c) 2022.&lt;/_ori_publication&gt;&lt;_pages&gt;2443-2451&lt;/_pages&gt;&lt;_tertiary_title&gt;American journal of translational research&lt;/_tertiary_title&gt;&lt;_type_work&gt;Journal Article&lt;/_type_work&gt;&lt;_url&gt;http://www.ncbi.nlm.nih.gov/entrez/query.fcgi?cmd=Retrieve&amp;amp;db=pubmed&amp;amp;dopt=Abstract&amp;amp;list_uids=35559391&amp;amp;query_hl=1&lt;/_url&gt;&lt;_volume&gt;14&lt;/_volume&gt;&lt;_created&gt;66000904&lt;/_created&gt;&lt;_modified&gt;66000904&lt;/_modified&gt;&lt;_db_updated&gt;PubMed&lt;/_db_updated&gt;&lt;_impact_factor&gt;   3.940&lt;/_impact_factor&gt;&lt;_social_category&gt;医学(3)&lt;/_social_category&gt;&lt;_collection_scope&gt;SCIE&lt;/_collection_scope&gt;&lt;/Details&gt;&lt;Extra&gt;&lt;DBUID&gt;{C3DDB144-B9A5-4BD3-B74E-FCFC25704025}&lt;/DBUID&gt;&lt;/Extra&gt;&lt;/Item&gt;&lt;/References&gt;&lt;/Group&gt;&lt;/Citation&gt;_x000a_"/>
    <w:docVar w:name="NE.Ref{EEB7A441-AACD-4BE7-BC90-EE547F9F8051}" w:val=" ADDIN NE.Ref.{EEB7A441-AACD-4BE7-BC90-EE547F9F8051}&lt;Citation&gt;&lt;Group&gt;&lt;References&gt;&lt;Item&gt;&lt;ID&gt;687&lt;/ID&gt;&lt;UID&gt;{997AF2C3-F9F4-47E8-8B37-7AADB9BEAB54}&lt;/UID&gt;&lt;Title&gt;Conservative management of CIN2 p16 positive lesions in women with multiple HPV  infection&lt;/Title&gt;&lt;Template&gt;Journal Article&lt;/Template&gt;&lt;Star&gt;0&lt;/Star&gt;&lt;Tag&gt;0&lt;/Tag&gt;&lt;Author&gt;Bruno, M T; Scalia, G; Cassaro, N; Costanzo, M; Boemi, S&lt;/Author&gt;&lt;Year&gt;2020&lt;/Year&gt;&lt;Details&gt;&lt;_accession_num&gt;33121447&lt;/_accession_num&gt;&lt;_author_adr&gt;Department of General Surgery and Medical Surgery Specialties, Gynecological  Clinic, University of Catania, Catania, Italy. mt.bruno@unict.it.; Department of Biomedical and Biotechnological Sciences, Clinical Virology,  University of Catania, Catania, Italy.; Gynecological Oncology, Humanitas, Catania, Italy.; Department of Biomedical and Biotechnological Sciences, Clinical Virology,  University of Catania, Catania, Italy.; Department of General Surgery and Medical Surgery Specialties, Gynecological  Clinic, University of Catania, Catania, Italy.&lt;/_author_adr&gt;&lt;_collection_scope&gt;SCIE&lt;/_collection_scope&gt;&lt;_created&gt;65681149&lt;/_created&gt;&lt;_date&gt;2020-10-29&lt;/_date&gt;&lt;_date_display&gt;2020 Oct 29&lt;/_date_display&gt;&lt;_db_updated&gt;PubMed&lt;/_db_updated&gt;&lt;_doi&gt;10.1186/s12879-020-05530-5&lt;/_doi&gt;&lt;_impact_factor&gt;   3.667&lt;/_impact_factor&gt;&lt;_isbn&gt;1471-2334 (Electronic); 1471-2334 (Linking)&lt;/_isbn&gt;&lt;_issue&gt;1&lt;/_issue&gt;&lt;_journal&gt;BMC Infect Dis&lt;/_journal&gt;&lt;_keywords&gt;CIN2; Colposcopy; HPV infection; LEEP; Laser-therapy; Multiple HPV infection; p16 protein&lt;/_keywords&gt;&lt;_language&gt;eng&lt;/_language&gt;&lt;_modified&gt;66000828&lt;/_modified&gt;&lt;_pages&gt;801&lt;/_pages&gt;&lt;_social_category&gt;医学(3)&lt;/_social_category&gt;&lt;_subject_headings&gt;Adult; Colposcopy; Conservative Treatment/*methods; Cyclin-Dependent Kinase Inhibitor p16/immunology/*metabolism; Disease Progression; Female; Follow-Up Studies; Genotype; Humans; Immunohistochemistry; Laser Therapy; Papillomaviridae/*genetics; Papillomavirus Infections/*complications/virology; Retrospective Studies; Treatment Outcome; Uterine Cervical Neoplasms/*complications/*therapy/virology; Uterine Cervical Dysplasia/*complications/*therapy/virology&lt;/_subject_headings&gt;&lt;_tertiary_title&gt;BMC infectious diseases&lt;/_tertiary_title&gt;&lt;_type_work&gt;Journal Article&lt;/_type_work&gt;&lt;_url&gt;http://www.ncbi.nlm.nih.gov/entrez/query.fcgi?cmd=Retrieve&amp;amp;db=pubmed&amp;amp;dopt=Abstract&amp;amp;list_uids=33121447&amp;amp;query_hl=1&lt;/_url&gt;&lt;_volume&gt;20&lt;/_volume&gt;&lt;/Details&gt;&lt;Extra&gt;&lt;DBUID&gt;{C3DDB144-B9A5-4BD3-B74E-FCFC25704025}&lt;/DBUID&gt;&lt;/Extra&gt;&lt;/Item&gt;&lt;/References&gt;&lt;/Group&gt;&lt;Group&gt;&lt;References&gt;&lt;Item&gt;&lt;ID&gt;683&lt;/ID&gt;&lt;UID&gt;{53A88068-B1C5-4F35-90C1-AF1BF7E9AA48}&lt;/UID&gt;&lt;Title&gt;Clinical course of untreated cervical intraepithelial neoplasia grade 2 under  active surveillance: systematic review and meta-analysis&lt;/Title&gt;&lt;Template&gt;Journal Article&lt;/Template&gt;&lt;Star&gt;0&lt;/Star&gt;&lt;Tag&gt;0&lt;/Tag&gt;&lt;Author&gt;Tainio, K; Athanasiou, A; Tikkinen, KAO; Aaltonen, R; Cardenas, J; Hernandes; Glazer-Livson, S; Jakobsson, M; Joronen, K; Kiviharju, M; Louvanto, K; Oksjoki, S; Tahtinen, R; Virtanen, S; Nieminen, P; Kyrgiou, M; Kalliala, I&lt;/Author&gt;&lt;Year&gt;2018&lt;/Year&gt;&lt;Details&gt;&lt;_accessed&gt;65681169&lt;/_accessed&gt;&lt;_accession_num&gt;29487049&lt;/_accession_num&gt;&lt;_author_adr&gt;Department of Obstetrics and Gynaecology, University of Helsinki and Helsinki  University Hospital, Helsinki, Finland.; Department of Obstetrics and Gynaecology, University Hospital of Ioannina,  Ioannina, Greece.; Departments of Urology and Public Health, University of Helsinki and Helsinki  University Hospital, Helsinki, Finland.; Department of Obstetrics and Gynaecology, Turku University Hospital and  University of Turku, Turku, Finland.; National Center for Health Technology Excellence (CENETEC) Direction of Health  Technologies assessment, Mexico City, Mexico.; Department of Obstetrics and Gynaecology, University of Helsinki and Helsinki  University Hospital, Helsinki, Finland.; Department of Obstetrics and Gynaecology, University of Helsinki and Helsinki  University Hospital, Helsinki, Finland.; Department of Obstetrics and Gynaecology, Turku University Hospital and  University of Turku, Turku, Finland.; Department of Obstetrics and Gynaecology, University of Helsinki and Helsinki  University Hospital, Helsinki, Finland.; Department of Obstetrics and Gynaecology, University of Helsinki and Helsinki  University Hospital, Helsinki, Finland.; Wolfson Institute of Preventive Medicine, Queen Mary University of London,  London, UK.; Department of Obstetrics and Gynaecology, Turku University Hospital and  University of Turku, Turku, Finland.; Department of Obstetrics and Gynaecology, Kuopio University Hospital, Kuopio,  Finland.; Department of Obstetrics and Gynaecology, University of Helsinki and Helsinki  University Hospital, Helsinki, Finland.; Department of Obstetrics and Gynaecology, University of Helsinki and Helsinki  University Hospital, Helsinki, Finland.; Institute of Reproduction and Developmental Biology, Department of Surgery &amp;amp;  Cancer, Imperial College, London W12 0NN, UK m.kyrgiou@imperial.ac.uk.; West London Gynaecological Cancer Center, Queen Charlotte&amp;apos;s &amp;amp; Chelsea-Hammersmith  Hospital, Imperial Healthcare NHS Trust, London, UK.; Department of Obstetrics and Gynaecology, University of Helsinki and Helsinki  University Hospital, Helsinki, Finland.; Institute of Reproduction and Developmental Biology, Department of Surgery &amp;amp;  Cancer, Imperial College, London W12 0NN, UK.&lt;/_author_adr&gt;&lt;_collection_scope&gt;SCIE&lt;/_collection_scope&gt;&lt;_created&gt;65681131&lt;/_created&gt;&lt;_date&gt;2018-02-27&lt;/_date&gt;&lt;_date_display&gt;2018 Feb 27&lt;/_date_display&gt;&lt;_db_updated&gt;PubMed&lt;/_db_updated&gt;&lt;_doi&gt;10.1136/bmj.k499&lt;/_doi&gt;&lt;_impact_factor&gt;  93.333&lt;/_impact_factor&gt;&lt;_isbn&gt;1756-1833 (Electronic); 0959-8138 (Print); 0959-8138 (Linking)&lt;/_isbn&gt;&lt;_journal&gt;BMJ&lt;/_journal&gt;&lt;_language&gt;eng&lt;/_language&gt;&lt;_modified&gt;65681169&lt;/_modified&gt;&lt;_ori_publication&gt;Published by the BMJ Publishing Group Limited. For permission to use (where not _x000d__x000a_      already granted under a licence) please go to _x000d__x000a_      http://group.bmj.com/group/rights-licensing/permissions.&lt;/_ori_publication&gt;&lt;_pages&gt;k499&lt;/_pages&gt;&lt;_subject_headings&gt;*Conservative Treatment; Disease Progression; Female; Humans; Neoplasm Grading; Uterine Cervical Dysplasia/*pathology/*therapy&lt;/_subject_headings&gt;&lt;_tertiary_title&gt;BMJ (Clinical research ed.)&lt;/_tertiary_title&gt;&lt;_type_work&gt;Journal Article; Meta-Analysis; Research Support, Non-U.S. Gov&amp;apos;t; Review; Systematic Review&lt;/_type_work&gt;&lt;_url&gt;http://www.ncbi.nlm.nih.gov/entrez/query.fcgi?cmd=Retrieve&amp;amp;db=pubmed&amp;amp;dopt=Abstract&amp;amp;list_uids=29487049&amp;amp;query_hl=1&lt;/_url&gt;&lt;_volume&gt;360&lt;/_volume&gt;&lt;/Details&gt;&lt;Extra&gt;&lt;DBUID&gt;{C3DDB144-B9A5-4BD3-B74E-FCFC25704025}&lt;/DBUID&gt;&lt;/Extra&gt;&lt;/Item&gt;&lt;/References&gt;&lt;/Group&gt;&lt;/Citation&gt;_x000a_"/>
    <w:docVar w:name="NE.Ref{F0AC909C-E856-407B-ADEF-AB80A7069910}" w:val=" ADDIN NE.Ref.{F0AC909C-E856-407B-ADEF-AB80A7069910}&lt;Citation&gt;&lt;Group&gt;&lt;References&gt;&lt;Item&gt;&lt;ID&gt;691&lt;/ID&gt;&lt;UID&gt;{2492B778-9D48-42AD-A4E1-4E79B8D97418}&lt;/UID&gt;&lt;Title&gt;Clinical course of cervical intraepithelial neoplasia grade 2: a population-based  cohort study&lt;/Title&gt;&lt;Template&gt;Journal Article&lt;/Template&gt;&lt;Star&gt;0&lt;/Star&gt;&lt;Tag&gt;0&lt;/Tag&gt;&lt;Author&gt;Lycke, K D; Kahlert, J; Damgaard, R K; Eriksen, D O; Bennetsen, M H; Gravitt, P E; Petersen, L K; Hammer, A&lt;/Author&gt;&lt;Year&gt;2023&lt;/Year&gt;&lt;Details&gt;&lt;_accession_num&gt;37595822&lt;/_accession_num&gt;&lt;_author_adr&gt;Department of Gynecology and Obstetrics, Godstrup Hospital, Herning, Denmark;  Department of Clinical Medicine, Aarhus University, Aarhus, Denmark. Electronic  address: katlyc@clin.au.dk.; Department of Clinical Epidemiology, Aarhus University Hospital, Aarhus, Denmark.; Department of Gynecology and Obstetrics, Godstrup Hospital, Herning, Denmark;  Department of Clinical Medicine, Aarhus University, Aarhus, Denmark.; Department of Gynecology and Obstetrics, Godstrup Hospital, Herning, Denmark;  Department of Clinical Medicine, Aarhus University, Aarhus, Denmark.; Department of Pathology, Randers Regional Hospital, Randers, Denmark.; Center for Global Health, National Cancer Institute, Rockville, MD.; Department of Gynecology and Obstetrics, Odense University Hospital, Odense,  Denmark; Department of Clinical Research, University of Southern Denmark, Odense,  Denmark.; Department of Gynecology and Obstetrics, Godstrup Hospital, Herning, Denmark;  Department of Clinical Medicine, Aarhus University, Aarhus, Denmark.&lt;/_author_adr&gt;&lt;_date_display&gt;2023 Dec&lt;/_date_display&gt;&lt;_date&gt;2023-12-01&lt;/_date&gt;&lt;_doi&gt;10.1016/j.ajog.2023.08.008&lt;/_doi&gt;&lt;_isbn&gt;1097-6868 (Electronic); 0002-9378 (Linking)&lt;/_isbn&gt;&lt;_issue&gt;6&lt;/_issue&gt;&lt;_journal&gt;Am J Obstet Gynecol&lt;/_journal&gt;&lt;_keywords&gt;cervical intraepithelial neoplasia grade 2; loop electrosurgical excision procedure; progression; regression&lt;/_keywords&gt;&lt;_language&gt;eng&lt;/_language&gt;&lt;_ori_publication&gt;Copyright (c) 2023 The Author(s). Published by Elsevier Inc. All rights reserved.&lt;/_ori_publication&gt;&lt;_pages&gt;656.e1-656.e15&lt;/_pages&gt;&lt;_subject_headings&gt;Pregnancy; Female; Humans; *Uterine Cervical Neoplasms/epidemiology/surgery; Cohort Studies; Follow-Up Studies; Colposcopy; *Uterine Cervical Dysplasia/epidemiology; Disease Progression; *Papillomavirus Infections/diagnosis&lt;/_subject_headings&gt;&lt;_tertiary_title&gt;American journal of obstetrics and gynecology&lt;/_tertiary_title&gt;&lt;_type_work&gt;Journal Article; Research Support, Non-U.S. Gov&amp;apos;t&lt;/_type_work&gt;&lt;_url&gt;http://www.ncbi.nlm.nih.gov/entrez/query.fcgi?cmd=Retrieve&amp;amp;db=pubmed&amp;amp;dopt=Abstract&amp;amp;list_uids=37595822&amp;amp;query_hl=1&lt;/_url&gt;&lt;_volume&gt;229&lt;/_volume&gt;&lt;_created&gt;65681186&lt;/_created&gt;&lt;_modified&gt;65681186&lt;/_modified&gt;&lt;_db_updated&gt;PubMed&lt;/_db_updated&gt;&lt;_impact_factor&gt;  10.693&lt;/_impact_factor&gt;&lt;_social_category&gt;医学(1)&lt;/_social_category&gt;&lt;_collection_scope&gt;SCIE&lt;/_collection_scope&gt;&lt;/Details&gt;&lt;Extra&gt;&lt;DBUID&gt;{C3DDB144-B9A5-4BD3-B74E-FCFC25704025}&lt;/DBUID&gt;&lt;/Extra&gt;&lt;/Item&gt;&lt;/References&gt;&lt;/Group&gt;&lt;/Citation&gt;_x000a_"/>
    <w:docVar w:name="NE.Ref{F6DF7368-A5A3-45BE-9B81-F530954D187F}" w:val=" ADDIN NE.Ref.{F6DF7368-A5A3-45BE-9B81-F530954D187F}&lt;Citation&gt;&lt;Group&gt;&lt;References&gt;&lt;Item&gt;&lt;ID&gt;691&lt;/ID&gt;&lt;UID&gt;{2492B778-9D48-42AD-A4E1-4E79B8D97418}&lt;/UID&gt;&lt;Title&gt;Clinical course of cervical intraepithelial neoplasia grade 2: a population-based  cohort study&lt;/Title&gt;&lt;Template&gt;Journal Article&lt;/Template&gt;&lt;Star&gt;0&lt;/Star&gt;&lt;Tag&gt;0&lt;/Tag&gt;&lt;Author&gt;Lycke, K D; Kahlert, J; Damgaard, R K; Eriksen, D O; Bennetsen, M H; Gravitt, P E; Petersen, L K; Hammer, A&lt;/Author&gt;&lt;Year&gt;2023&lt;/Year&gt;&lt;Details&gt;&lt;_accession_num&gt;37595822&lt;/_accession_num&gt;&lt;_author_adr&gt;Department of Gynecology and Obstetrics, Godstrup Hospital, Herning, Denmark;  Department of Clinical Medicine, Aarhus University, Aarhus, Denmark. Electronic  address: katlyc@clin.au.dk.; Department of Clinical Epidemiology, Aarhus University Hospital, Aarhus, Denmark.; Department of Gynecology and Obstetrics, Godstrup Hospital, Herning, Denmark;  Department of Clinical Medicine, Aarhus University, Aarhus, Denmark.; Department of Gynecology and Obstetrics, Godstrup Hospital, Herning, Denmark;  Department of Clinical Medicine, Aarhus University, Aarhus, Denmark.; Department of Pathology, Randers Regional Hospital, Randers, Denmark.; Center for Global Health, National Cancer Institute, Rockville, MD.; Department of Gynecology and Obstetrics, Odense University Hospital, Odense,  Denmark; Department of Clinical Research, University of Southern Denmark, Odense,  Denmark.; Department of Gynecology and Obstetrics, Godstrup Hospital, Herning, Denmark;  Department of Clinical Medicine, Aarhus University, Aarhus, Denmark.&lt;/_author_adr&gt;&lt;_date_display&gt;2023 Dec&lt;/_date_display&gt;&lt;_date&gt;2023-12-01&lt;/_date&gt;&lt;_doi&gt;10.1016/j.ajog.2023.08.008&lt;/_doi&gt;&lt;_isbn&gt;1097-6868 (Electronic); 0002-9378 (Linking)&lt;/_isbn&gt;&lt;_issue&gt;6&lt;/_issue&gt;&lt;_journal&gt;Am J Obstet Gynecol&lt;/_journal&gt;&lt;_keywords&gt;cervical intraepithelial neoplasia grade 2; loop electrosurgical excision procedure; progression; regression&lt;/_keywords&gt;&lt;_language&gt;eng&lt;/_language&gt;&lt;_ori_publication&gt;Copyright (c) 2023 The Author(s). Published by Elsevier Inc. All rights reserved.&lt;/_ori_publication&gt;&lt;_pages&gt;656.e1-656.e15&lt;/_pages&gt;&lt;_subject_headings&gt;Pregnancy; Female; Humans; *Uterine Cervical Neoplasms/epidemiology/surgery; Cohort Studies; Follow-Up Studies; Colposcopy; *Uterine Cervical Dysplasia/epidemiology; Disease Progression; *Papillomavirus Infections/diagnosis&lt;/_subject_headings&gt;&lt;_tertiary_title&gt;American journal of obstetrics and gynecology&lt;/_tertiary_title&gt;&lt;_type_work&gt;Journal Article; Research Support, Non-U.S. Gov&amp;apos;t&lt;/_type_work&gt;&lt;_url&gt;http://www.ncbi.nlm.nih.gov/entrez/query.fcgi?cmd=Retrieve&amp;amp;db=pubmed&amp;amp;dopt=Abstract&amp;amp;list_uids=37595822&amp;amp;query_hl=1&lt;/_url&gt;&lt;_volume&gt;229&lt;/_volume&gt;&lt;_created&gt;65681186&lt;/_created&gt;&lt;_modified&gt;65681186&lt;/_modified&gt;&lt;_db_updated&gt;PubMed&lt;/_db_updated&gt;&lt;_impact_factor&gt;  10.693&lt;/_impact_factor&gt;&lt;_social_category&gt;医学(1)&lt;/_social_category&gt;&lt;_collection_scope&gt;SCIE&lt;/_collection_scope&gt;&lt;/Details&gt;&lt;Extra&gt;&lt;DBUID&gt;{C3DDB144-B9A5-4BD3-B74E-FCFC25704025}&lt;/DBUID&gt;&lt;/Extra&gt;&lt;/Item&gt;&lt;/References&gt;&lt;/Group&gt;&lt;/Citation&gt;_x000a_"/>
    <w:docVar w:name="NE.Ref{FD32E514-A292-4903-BB58-0BF23BCF764C}" w:val=" ADDIN NE.Ref.{FD32E514-A292-4903-BB58-0BF23BCF764C}&lt;Citation&gt;&lt;Group&gt;&lt;References&gt;&lt;Item&gt;&lt;ID&gt;677&lt;/ID&gt;&lt;UID&gt;{64347037-67D0-4CF2-A202-BADAA53D05C0}&lt;/UID&gt;&lt;Title&gt;Risk factors for treatment failure of CO2 laser vaporization in cervical  intraepithelial neoplasia 2&lt;/Title&gt;&lt;Template&gt;Journal Article&lt;/Template&gt;&lt;Star&gt;0&lt;/Star&gt;&lt;Tag&gt;0&lt;/Tag&gt;&lt;Author&gt;Yoon, B S; Seong, S J; Song, T; Kim, M L; Kim, M K&lt;/Author&gt;&lt;Year&gt;2014&lt;/Year&gt;&lt;Details&gt;&lt;_accession_num&gt;24458427&lt;/_accession_num&gt;&lt;_author_adr&gt;Department of Obstetrics and Gynecology, CHA Gangnam Medical Center, CHA  University, 650-9, Yoksam-dong, Gangnam-gu, Seoul, 135-913, Korea.&lt;/_author_adr&gt;&lt;_collection_scope&gt;SCIE&lt;/_collection_scope&gt;&lt;_created&gt;65681115&lt;/_created&gt;&lt;_date&gt;2014-07-01&lt;/_date&gt;&lt;_date_display&gt;2014 Jul&lt;/_date_display&gt;&lt;_db_updated&gt;PubMed&lt;/_db_updated&gt;&lt;_doi&gt;10.1007/s00404-014-3148-1&lt;/_doi&gt;&lt;_impact_factor&gt;   2.493&lt;/_impact_factor&gt;&lt;_isbn&gt;1432-0711 (Electronic); 0932-0067 (Linking)&lt;/_isbn&gt;&lt;_issue&gt;1&lt;/_issue&gt;&lt;_journal&gt;Arch Gynecol Obstet&lt;/_journal&gt;&lt;_language&gt;eng&lt;/_language&gt;&lt;_modified&gt;65681115&lt;/_modified&gt;&lt;_pages&gt;115-9&lt;/_pages&gt;&lt;_social_category&gt;医学(4)&lt;/_social_category&gt;&lt;_subject_headings&gt;Adult; Aged; Biopsy; Colposcopes; Female; Human Papillomavirus DNA Tests; Humans; Laser Therapy/adverse effects/*methods; Lasers, Gas/*therapeutic use; Middle Aged; Multivariate Analysis; Retrospective Studies; Risk Factors; *Treatment Failure; Uterine Cervical Neoplasms/pathology/*surgery; Uterine Cervical Dysplasia/pathology/*surgery&lt;/_subject_headings&gt;&lt;_tertiary_title&gt;Archives of gynecology and obstetrics&lt;/_tertiary_title&gt;&lt;_type_work&gt;Evaluation Study; Journal Article&lt;/_type_work&gt;&lt;_url&gt;http://www.ncbi.nlm.nih.gov/entrez/query.fcgi?cmd=Retrieve&amp;amp;db=pubmed&amp;amp;dopt=Abstract&amp;amp;list_uids=24458427&amp;amp;query_hl=1&lt;/_url&gt;&lt;_volume&gt;290&lt;/_volume&gt;&lt;/Details&gt;&lt;Extra&gt;&lt;DBUID&gt;{C3DDB144-B9A5-4BD3-B74E-FCFC25704025}&lt;/DBUID&gt;&lt;/Extra&gt;&lt;/Item&gt;&lt;/References&gt;&lt;/Group&gt;&lt;/Citation&gt;_x000a_"/>
    <w:docVar w:name="ne_docsoft" w:val="MSWord"/>
    <w:docVar w:name="ne_docversion" w:val="NoteExpress 2.0"/>
    <w:docVar w:name="ne_stylename" w:val="中华人民共和国国家标准_GBT_7714-2015"/>
  </w:docVars>
  <w:rsids>
    <w:rsidRoot w:val="00172A27"/>
    <w:rsid w:val="00006E88"/>
    <w:rsid w:val="00012EBE"/>
    <w:rsid w:val="00032122"/>
    <w:rsid w:val="00036B9B"/>
    <w:rsid w:val="000567AE"/>
    <w:rsid w:val="00111D34"/>
    <w:rsid w:val="0013142C"/>
    <w:rsid w:val="00131E87"/>
    <w:rsid w:val="001D1C26"/>
    <w:rsid w:val="00242FCA"/>
    <w:rsid w:val="003B7167"/>
    <w:rsid w:val="003B79BD"/>
    <w:rsid w:val="003C28DE"/>
    <w:rsid w:val="00471FF7"/>
    <w:rsid w:val="0059473D"/>
    <w:rsid w:val="00616D90"/>
    <w:rsid w:val="00785C8D"/>
    <w:rsid w:val="008404B4"/>
    <w:rsid w:val="008E2427"/>
    <w:rsid w:val="00907D2E"/>
    <w:rsid w:val="00971ACA"/>
    <w:rsid w:val="009D6D7C"/>
    <w:rsid w:val="00A67C60"/>
    <w:rsid w:val="00A832F3"/>
    <w:rsid w:val="00B44E9E"/>
    <w:rsid w:val="00B9357B"/>
    <w:rsid w:val="00D520C2"/>
    <w:rsid w:val="00D83F76"/>
    <w:rsid w:val="00D85913"/>
    <w:rsid w:val="00D9006D"/>
    <w:rsid w:val="00DB0AB0"/>
    <w:rsid w:val="00E35836"/>
    <w:rsid w:val="00E427F5"/>
    <w:rsid w:val="00E63A91"/>
    <w:rsid w:val="00FA2D6B"/>
    <w:rsid w:val="00FB1F32"/>
    <w:rsid w:val="01141298"/>
    <w:rsid w:val="012F3F7C"/>
    <w:rsid w:val="023C3262"/>
    <w:rsid w:val="02467A44"/>
    <w:rsid w:val="03463A74"/>
    <w:rsid w:val="03C377D1"/>
    <w:rsid w:val="03E2379C"/>
    <w:rsid w:val="05585870"/>
    <w:rsid w:val="06B62CBE"/>
    <w:rsid w:val="06E2783B"/>
    <w:rsid w:val="072907DC"/>
    <w:rsid w:val="072E6CF9"/>
    <w:rsid w:val="086B5FC0"/>
    <w:rsid w:val="08D0474A"/>
    <w:rsid w:val="0C2C24E0"/>
    <w:rsid w:val="0C5E598A"/>
    <w:rsid w:val="0C7C6692"/>
    <w:rsid w:val="0CCA1AD4"/>
    <w:rsid w:val="0DC42165"/>
    <w:rsid w:val="0EC341CA"/>
    <w:rsid w:val="0F6E1579"/>
    <w:rsid w:val="10B464C1"/>
    <w:rsid w:val="12816881"/>
    <w:rsid w:val="133E43E1"/>
    <w:rsid w:val="14182C9E"/>
    <w:rsid w:val="142179C9"/>
    <w:rsid w:val="150F3CC6"/>
    <w:rsid w:val="163360DA"/>
    <w:rsid w:val="163528A7"/>
    <w:rsid w:val="165556FD"/>
    <w:rsid w:val="1726179A"/>
    <w:rsid w:val="17C96529"/>
    <w:rsid w:val="17CF7530"/>
    <w:rsid w:val="18B0756E"/>
    <w:rsid w:val="19344235"/>
    <w:rsid w:val="199E2C1E"/>
    <w:rsid w:val="19A70FF3"/>
    <w:rsid w:val="1A0C2EC9"/>
    <w:rsid w:val="1A2E1582"/>
    <w:rsid w:val="1A974E89"/>
    <w:rsid w:val="1B77568B"/>
    <w:rsid w:val="1C533D74"/>
    <w:rsid w:val="1D1204CF"/>
    <w:rsid w:val="1D4C0E9C"/>
    <w:rsid w:val="1DA67BA9"/>
    <w:rsid w:val="1DC15D79"/>
    <w:rsid w:val="1E574683"/>
    <w:rsid w:val="1FE85F5F"/>
    <w:rsid w:val="21400605"/>
    <w:rsid w:val="216C336E"/>
    <w:rsid w:val="21A67760"/>
    <w:rsid w:val="21DC7625"/>
    <w:rsid w:val="2278547E"/>
    <w:rsid w:val="22A12390"/>
    <w:rsid w:val="25466A86"/>
    <w:rsid w:val="28395DF3"/>
    <w:rsid w:val="28643ED1"/>
    <w:rsid w:val="290F7A56"/>
    <w:rsid w:val="29521EA0"/>
    <w:rsid w:val="295E7506"/>
    <w:rsid w:val="2A3C2F66"/>
    <w:rsid w:val="2B15166D"/>
    <w:rsid w:val="2B6F6EC7"/>
    <w:rsid w:val="2BB60EE7"/>
    <w:rsid w:val="2BC55F5B"/>
    <w:rsid w:val="2CE93653"/>
    <w:rsid w:val="2D183017"/>
    <w:rsid w:val="2E2508C8"/>
    <w:rsid w:val="2E9E7B98"/>
    <w:rsid w:val="31826B34"/>
    <w:rsid w:val="3262544D"/>
    <w:rsid w:val="3445732B"/>
    <w:rsid w:val="36270407"/>
    <w:rsid w:val="37607F59"/>
    <w:rsid w:val="38E76B84"/>
    <w:rsid w:val="3C5F66A3"/>
    <w:rsid w:val="3C7A1ABD"/>
    <w:rsid w:val="3D1811F3"/>
    <w:rsid w:val="3D4225DB"/>
    <w:rsid w:val="3DC7298C"/>
    <w:rsid w:val="3EC139D3"/>
    <w:rsid w:val="3FF67181"/>
    <w:rsid w:val="40095632"/>
    <w:rsid w:val="40267E2E"/>
    <w:rsid w:val="40B80094"/>
    <w:rsid w:val="41875008"/>
    <w:rsid w:val="42576B28"/>
    <w:rsid w:val="442F041A"/>
    <w:rsid w:val="45835E86"/>
    <w:rsid w:val="474B6DA5"/>
    <w:rsid w:val="477B67A8"/>
    <w:rsid w:val="47A47402"/>
    <w:rsid w:val="47B13D4D"/>
    <w:rsid w:val="489E51D5"/>
    <w:rsid w:val="49D95129"/>
    <w:rsid w:val="49FD22C7"/>
    <w:rsid w:val="4BB5041C"/>
    <w:rsid w:val="4BF6262F"/>
    <w:rsid w:val="4CB622D3"/>
    <w:rsid w:val="4CC34DBA"/>
    <w:rsid w:val="4DA92202"/>
    <w:rsid w:val="4F670A7A"/>
    <w:rsid w:val="50224B39"/>
    <w:rsid w:val="50DA4B1A"/>
    <w:rsid w:val="521E283C"/>
    <w:rsid w:val="527B5A0F"/>
    <w:rsid w:val="52AA6235"/>
    <w:rsid w:val="52BD5D69"/>
    <w:rsid w:val="54095E73"/>
    <w:rsid w:val="54511A7F"/>
    <w:rsid w:val="558F7F2F"/>
    <w:rsid w:val="55D65B5E"/>
    <w:rsid w:val="56E43EBF"/>
    <w:rsid w:val="57625FB9"/>
    <w:rsid w:val="583D3C73"/>
    <w:rsid w:val="59F842F5"/>
    <w:rsid w:val="5B101B12"/>
    <w:rsid w:val="5BB63FEC"/>
    <w:rsid w:val="5BF7088B"/>
    <w:rsid w:val="5C3E2C76"/>
    <w:rsid w:val="5D2418A5"/>
    <w:rsid w:val="5D3F7C02"/>
    <w:rsid w:val="5D923041"/>
    <w:rsid w:val="5E565A8E"/>
    <w:rsid w:val="5ECC5D50"/>
    <w:rsid w:val="5FF16423"/>
    <w:rsid w:val="62014733"/>
    <w:rsid w:val="638A1F89"/>
    <w:rsid w:val="642750F0"/>
    <w:rsid w:val="64FD26D6"/>
    <w:rsid w:val="653863F9"/>
    <w:rsid w:val="66C97765"/>
    <w:rsid w:val="696F20FA"/>
    <w:rsid w:val="69CA70F6"/>
    <w:rsid w:val="69EB1780"/>
    <w:rsid w:val="6A867185"/>
    <w:rsid w:val="6B1D1ABA"/>
    <w:rsid w:val="6B7363C8"/>
    <w:rsid w:val="6D4D2752"/>
    <w:rsid w:val="6E227D95"/>
    <w:rsid w:val="6E743971"/>
    <w:rsid w:val="70B55734"/>
    <w:rsid w:val="735F6D3B"/>
    <w:rsid w:val="744A6B64"/>
    <w:rsid w:val="751D2D0B"/>
    <w:rsid w:val="7717037F"/>
    <w:rsid w:val="7782001E"/>
    <w:rsid w:val="77F54DD9"/>
    <w:rsid w:val="78AC47D1"/>
    <w:rsid w:val="79837D3F"/>
    <w:rsid w:val="7AC0148E"/>
    <w:rsid w:val="7B075CA7"/>
    <w:rsid w:val="7C3C2B15"/>
    <w:rsid w:val="7D3A4085"/>
    <w:rsid w:val="7D787E12"/>
    <w:rsid w:val="7E053C7A"/>
    <w:rsid w:val="7FA2303A"/>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pPr>
      <w:keepNext w:val="0"/>
      <w:keepLines w:val="0"/>
      <w:widowControl/>
      <w:suppressLineNumbers w:val="0"/>
      <w:spacing w:before="0" w:beforeAutospacing="0" w:after="0" w:afterAutospacing="0"/>
      <w:ind w:left="0" w:right="0"/>
    </w:pPr>
    <w:rPr>
      <w:rFonts w:hint="default" w:ascii="Calibri" w:hAnsi="Calibri" w:cs="Times New Roman"/>
      <w:sz w:val="20"/>
      <w:szCs w:val="20"/>
    </w:rPr>
    <w:tblPr>
      <w:tblCellMar>
        <w:top w:w="0" w:type="dxa"/>
        <w:left w:w="108" w:type="dxa"/>
        <w:bottom w:w="0" w:type="dxa"/>
        <w:right w:w="108" w:type="dxa"/>
      </w:tblCellMar>
    </w:tblPr>
  </w:style>
  <w:style w:type="paragraph" w:styleId="2">
    <w:name w:val="annotation text"/>
    <w:basedOn w:val="1"/>
    <w:qFormat/>
    <w:uiPriority w:val="0"/>
    <w:pPr>
      <w:jc w:val="left"/>
    </w:pPr>
  </w:style>
  <w:style w:type="table" w:styleId="4">
    <w:name w:val="Table Grid"/>
    <w:basedOn w:val="3"/>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Strong"/>
    <w:qFormat/>
    <w:uiPriority w:val="0"/>
    <w:rPr>
      <w:b/>
    </w:rPr>
  </w:style>
  <w:style w:type="character" w:customStyle="1" w:styleId="7">
    <w:name w:val="font21"/>
    <w:qFormat/>
    <w:uiPriority w:val="0"/>
    <w:rPr>
      <w:rFonts w:ascii="宋体" w:hAnsi="宋体" w:eastAsia="宋体" w:cs="宋体"/>
      <w:b/>
      <w:bCs/>
      <w:color w:val="000000"/>
      <w:sz w:val="50"/>
      <w:szCs w:val="50"/>
      <w:u w:val="none"/>
    </w:rPr>
  </w:style>
  <w:style w:type="character" w:customStyle="1" w:styleId="8">
    <w:name w:val="font41"/>
    <w:qFormat/>
    <w:uiPriority w:val="0"/>
    <w:rPr>
      <w:rFonts w:hint="eastAsia" w:ascii="仿宋" w:hAnsi="仿宋" w:eastAsia="仿宋" w:cs="仿宋"/>
      <w:color w:val="000000"/>
      <w:sz w:val="22"/>
      <w:szCs w:val="22"/>
      <w:u w:val="none"/>
    </w:rPr>
  </w:style>
  <w:style w:type="character" w:customStyle="1" w:styleId="9">
    <w:name w:val="font112"/>
    <w:qFormat/>
    <w:uiPriority w:val="0"/>
    <w:rPr>
      <w:rFonts w:hint="default" w:ascii="Times New Roman" w:hAnsi="Times New Roman" w:cs="Times New Roman"/>
      <w:b/>
      <w:bCs/>
      <w:color w:val="000000"/>
      <w:sz w:val="50"/>
      <w:szCs w:val="50"/>
      <w:u w:val="none"/>
    </w:rPr>
  </w:style>
  <w:style w:type="character" w:customStyle="1" w:styleId="10">
    <w:name w:val="font51"/>
    <w:qFormat/>
    <w:uiPriority w:val="0"/>
    <w:rPr>
      <w:rFonts w:hint="default" w:ascii="Times New Roman" w:hAnsi="Times New Roman" w:cs="Times New Roman"/>
      <w:b/>
      <w:bCs/>
      <w:color w:val="000000"/>
      <w:sz w:val="24"/>
      <w:szCs w:val="24"/>
      <w:u w:val="none"/>
    </w:rPr>
  </w:style>
  <w:style w:type="character" w:customStyle="1" w:styleId="11">
    <w:name w:val="font71"/>
    <w:qFormat/>
    <w:uiPriority w:val="0"/>
    <w:rPr>
      <w:rFonts w:hint="default" w:ascii="Times New Roman" w:hAnsi="Times New Roman" w:cs="Times New Roman"/>
      <w:color w:val="000000"/>
      <w:sz w:val="40"/>
      <w:szCs w:val="40"/>
      <w:u w:val="none"/>
    </w:rPr>
  </w:style>
  <w:style w:type="character" w:customStyle="1" w:styleId="12">
    <w:name w:val="font121"/>
    <w:qFormat/>
    <w:uiPriority w:val="0"/>
    <w:rPr>
      <w:rFonts w:ascii="宋体" w:hAnsi="宋体" w:eastAsia="宋体" w:cs="宋体"/>
      <w:color w:val="000000"/>
      <w:sz w:val="42"/>
      <w:szCs w:val="42"/>
      <w:u w:val="none"/>
    </w:rPr>
  </w:style>
  <w:style w:type="character" w:customStyle="1" w:styleId="13">
    <w:name w:val="font101"/>
    <w:qFormat/>
    <w:uiPriority w:val="0"/>
    <w:rPr>
      <w:rFonts w:hint="default" w:ascii="Times New Roman" w:hAnsi="Times New Roman" w:cs="Times New Roman"/>
      <w:color w:val="000000"/>
      <w:sz w:val="50"/>
      <w:szCs w:val="50"/>
      <w:u w:val="none"/>
    </w:rPr>
  </w:style>
  <w:style w:type="character" w:customStyle="1" w:styleId="14">
    <w:name w:val="font31"/>
    <w:qFormat/>
    <w:uiPriority w:val="0"/>
    <w:rPr>
      <w:rFonts w:hint="eastAsia" w:ascii="宋体" w:hAnsi="宋体" w:eastAsia="宋体" w:cs="宋体"/>
      <w:color w:val="000000"/>
      <w:sz w:val="22"/>
      <w:szCs w:val="22"/>
      <w:u w:val="none"/>
    </w:rPr>
  </w:style>
  <w:style w:type="character" w:customStyle="1" w:styleId="15">
    <w:name w:val="font91"/>
    <w:qFormat/>
    <w:uiPriority w:val="0"/>
    <w:rPr>
      <w:rFonts w:hint="default" w:ascii="Times New Roman" w:hAnsi="Times New Roman" w:cs="Times New Roman"/>
      <w:color w:val="000000"/>
      <w:sz w:val="42"/>
      <w:szCs w:val="42"/>
      <w:u w:val="none"/>
    </w:rPr>
  </w:style>
  <w:style w:type="character" w:customStyle="1" w:styleId="16">
    <w:name w:val="font61"/>
    <w:qFormat/>
    <w:uiPriority w:val="0"/>
    <w:rPr>
      <w:rFonts w:hint="eastAsia" w:ascii="宋体" w:hAnsi="宋体" w:eastAsia="宋体" w:cs="宋体"/>
      <w:color w:val="000000"/>
      <w:sz w:val="42"/>
      <w:szCs w:val="42"/>
      <w:u w:val="none"/>
    </w:rPr>
  </w:style>
  <w:style w:type="character" w:customStyle="1" w:styleId="17">
    <w:name w:val="font01"/>
    <w:qFormat/>
    <w:uiPriority w:val="0"/>
    <w:rPr>
      <w:rFonts w:hint="eastAsia" w:ascii="宋体" w:hAnsi="宋体" w:eastAsia="宋体" w:cs="宋体"/>
      <w:color w:val="000000"/>
      <w:sz w:val="22"/>
      <w:szCs w:val="22"/>
      <w:u w:val="none"/>
    </w:rPr>
  </w:style>
  <w:style w:type="character" w:customStyle="1" w:styleId="18">
    <w:name w:val="15"/>
    <w:qFormat/>
    <w:uiPriority w:val="0"/>
    <w:rPr>
      <w:rFonts w:hint="default" w:ascii="Times New Roman" w:hAnsi="Times New Roman" w:cs="Times New Roman"/>
      <w:color w:val="000000"/>
      <w:sz w:val="40"/>
      <w:szCs w:val="4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744</Words>
  <Characters>1313</Characters>
  <Lines>89</Lines>
  <Paragraphs>25</Paragraphs>
  <TotalTime>22</TotalTime>
  <ScaleCrop>false</ScaleCrop>
  <LinksUpToDate>false</LinksUpToDate>
  <CharactersWithSpaces>1347</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windy</cp:lastModifiedBy>
  <cp:lastPrinted>2025-08-04T01:19:00Z</cp:lastPrinted>
  <dcterms:modified xsi:type="dcterms:W3CDTF">2025-11-11T07:18:34Z</dcterms:modified>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F8A4DAFE58BA4BD2BF349A1582E0D867_13</vt:lpwstr>
  </property>
  <property fmtid="{D5CDD505-2E9C-101B-9397-08002B2CF9AE}" pid="4" name="KSOTemplateDocerSaveRecord">
    <vt:lpwstr>eyJoZGlkIjoiOTYyMWU1ZDU4MjhhODg2OTIyMmE5NjY0NWE4ZWQ2NjkiLCJ1c2VySWQiOiIzNDgwMTMwODEifQ==</vt:lpwstr>
  </property>
  <property fmtid="{D5CDD505-2E9C-101B-9397-08002B2CF9AE}" pid="5" name="hmcheck_markmode">
    <vt:r8>0</vt:r8>
  </property>
  <property fmtid="{D5CDD505-2E9C-101B-9397-08002B2CF9AE}" pid="6" name="hmcheck_taskpanetype">
    <vt:r8>1</vt:r8>
  </property>
</Properties>
</file>