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246D1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Hlk176959306"/>
      <w:r>
        <w:rPr>
          <w:rFonts w:hint="eastAsia" w:ascii="宋体" w:hAnsi="宋体" w:eastAsia="宋体" w:cs="宋体"/>
          <w:b/>
          <w:bCs/>
          <w:sz w:val="24"/>
          <w:szCs w:val="24"/>
        </w:rPr>
        <w:t>表 5 早产儿败血症结局良好/不良培养阳性病原学分布特点分析</w:t>
      </w:r>
    </w:p>
    <w:tbl>
      <w:tblPr>
        <w:tblStyle w:val="21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1968"/>
        <w:gridCol w:w="2235"/>
        <w:gridCol w:w="2013"/>
        <w:gridCol w:w="872"/>
        <w:gridCol w:w="904"/>
      </w:tblGrid>
      <w:tr w14:paraId="0D6AF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21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732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病原学指标</w:t>
            </w:r>
          </w:p>
        </w:tc>
        <w:tc>
          <w:tcPr>
            <w:tcW w:w="19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0C12CA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总体(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=79)</w:t>
            </w:r>
          </w:p>
        </w:tc>
        <w:tc>
          <w:tcPr>
            <w:tcW w:w="22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3A44ED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结局良好(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=45)</w:t>
            </w:r>
          </w:p>
        </w:tc>
        <w:tc>
          <w:tcPr>
            <w:tcW w:w="20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98419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结局不良(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=34)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AD5200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BB6C76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P</w:t>
            </w:r>
          </w:p>
        </w:tc>
      </w:tr>
      <w:tr w14:paraId="1AAC0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A08225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革兰阴性菌[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(%)]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C3AD23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50(63.29)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3BBE5A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32(71.11)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ECFE7B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18(52.94)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5D5D2C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2.752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E3BDC4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0.097</w:t>
            </w:r>
          </w:p>
        </w:tc>
      </w:tr>
      <w:tr w14:paraId="3D33C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BE2D0B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革兰阳性菌[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(%)]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7065D9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29(36.71)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B6706B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13(28.89)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B0732E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16(47.06)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5DE5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C06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bookmarkEnd w:id="0"/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13453BAE"/>
    <w:rsid w:val="23F077F6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8BD608B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23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2025-08-29T07:31:29Z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A932D8E6904F46EA8BAD38A89863DE65_13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