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43A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 4 早产儿败血症早发型/晚发型培养阳性病原学分布特点分析</w:t>
      </w:r>
    </w:p>
    <w:tbl>
      <w:tblPr>
        <w:tblStyle w:val="21"/>
        <w:tblW w:w="100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2"/>
        <w:gridCol w:w="2760"/>
        <w:gridCol w:w="2216"/>
        <w:gridCol w:w="1320"/>
        <w:gridCol w:w="1152"/>
      </w:tblGrid>
      <w:tr w14:paraId="4559E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263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7C99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病原学指标</w:t>
            </w:r>
          </w:p>
        </w:tc>
        <w:tc>
          <w:tcPr>
            <w:tcW w:w="27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012545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革兰阴性菌[</w:t>
            </w: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(%)]</w:t>
            </w:r>
          </w:p>
        </w:tc>
        <w:tc>
          <w:tcPr>
            <w:tcW w:w="22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5AE2D43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革兰阳性菌[</w:t>
            </w: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(%)]</w:t>
            </w:r>
          </w:p>
        </w:tc>
        <w:tc>
          <w:tcPr>
            <w:tcW w:w="13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54D3C7E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9FCCD7B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P</w:t>
            </w:r>
          </w:p>
        </w:tc>
      </w:tr>
      <w:tr w14:paraId="46599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CE7634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EOS(</w:t>
            </w: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=3)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A0BCF2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1(33.33)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4F2AF6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2(66.67)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AAD1354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1.205</w:t>
            </w:r>
          </w:p>
        </w:tc>
        <w:tc>
          <w:tcPr>
            <w:tcW w:w="1152" w:type="dxa"/>
            <w:vMerge w:val="restart"/>
            <w:tcBorders>
              <w:top w:val="nil"/>
              <w:left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6C70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0.272</w:t>
            </w:r>
          </w:p>
        </w:tc>
      </w:tr>
      <w:tr w14:paraId="17932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58F728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LOS(</w:t>
            </w: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=76)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654508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49(64.47)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3C2E06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27(35.53)</w:t>
            </w:r>
          </w:p>
        </w:tc>
        <w:tc>
          <w:tcPr>
            <w:tcW w:w="1320" w:type="dxa"/>
            <w:vMerge w:val="continue"/>
            <w:tcBorders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F25C938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6573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C018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2382C9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结局良好(</w:t>
            </w: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=45)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016806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32(71.11)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44B184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13(28.89)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93A88DE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2.752</w:t>
            </w:r>
          </w:p>
        </w:tc>
        <w:tc>
          <w:tcPr>
            <w:tcW w:w="1152" w:type="dxa"/>
            <w:vMerge w:val="restart"/>
            <w:tcBorders>
              <w:top w:val="nil"/>
              <w:left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A50C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0.097</w:t>
            </w:r>
          </w:p>
        </w:tc>
      </w:tr>
      <w:tr w14:paraId="704AC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632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EAE35E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结局不良(</w:t>
            </w:r>
            <w:r>
              <w:rPr>
                <w:rFonts w:hint="eastAsia" w:ascii="宋体" w:hAnsi="宋体" w:eastAsia="宋体" w:cs="宋体"/>
                <w:i/>
                <w:iCs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=34)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311D58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18(52.94)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813787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16(47.06)</w:t>
            </w:r>
          </w:p>
        </w:tc>
        <w:tc>
          <w:tcPr>
            <w:tcW w:w="1320" w:type="dxa"/>
            <w:vMerge w:val="continue"/>
            <w:tcBorders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E98DFE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F7BE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13453BAE"/>
    <w:rsid w:val="2240022F"/>
    <w:rsid w:val="23F077F6"/>
    <w:rsid w:val="2A1B4041"/>
    <w:rsid w:val="2B406814"/>
    <w:rsid w:val="306D69F2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B1951EE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845</Words>
  <Characters>2808</Characters>
  <Lines>134</Lines>
  <Paragraphs>37</Paragraphs>
  <TotalTime>23</TotalTime>
  <ScaleCrop>false</ScaleCrop>
  <LinksUpToDate>false</LinksUpToDate>
  <CharactersWithSpaces>2859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2025-08-29T07:30:57Z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F25C27530EB04CA689A34A6AA1F3B22F_13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