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88D33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表 2 EOS与LOS组早产儿败血症患儿临床表现比较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sz w:val="24"/>
          <w:szCs w:val="24"/>
        </w:rPr>
        <w:t>n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(%)]</w:t>
      </w:r>
    </w:p>
    <w:tbl>
      <w:tblPr>
        <w:tblStyle w:val="21"/>
        <w:tblW w:w="97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136"/>
        <w:gridCol w:w="1506"/>
        <w:gridCol w:w="1550"/>
        <w:gridCol w:w="1320"/>
        <w:gridCol w:w="1160"/>
      </w:tblGrid>
      <w:tr w14:paraId="60CCB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0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8210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临床表现</w:t>
            </w:r>
          </w:p>
        </w:tc>
        <w:tc>
          <w:tcPr>
            <w:tcW w:w="21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C05166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总体(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=199)</w:t>
            </w:r>
          </w:p>
        </w:tc>
        <w:tc>
          <w:tcPr>
            <w:tcW w:w="15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025E73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EOS(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=49)</w:t>
            </w:r>
          </w:p>
        </w:tc>
        <w:tc>
          <w:tcPr>
            <w:tcW w:w="15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6038D69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LOS（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=150）</w:t>
            </w:r>
          </w:p>
        </w:tc>
        <w:tc>
          <w:tcPr>
            <w:tcW w:w="13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CB7A4C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585882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14:paraId="42DAD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072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9CCCC1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体温异常 </w:t>
            </w:r>
          </w:p>
        </w:tc>
        <w:tc>
          <w:tcPr>
            <w:tcW w:w="213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DFEAD2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95(47.74)</w:t>
            </w:r>
          </w:p>
        </w:tc>
        <w:tc>
          <w:tcPr>
            <w:tcW w:w="1506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09F22F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23(46.94)</w:t>
            </w:r>
          </w:p>
        </w:tc>
        <w:tc>
          <w:tcPr>
            <w:tcW w:w="155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05EA11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72(48.0)</w:t>
            </w:r>
          </w:p>
        </w:tc>
        <w:tc>
          <w:tcPr>
            <w:tcW w:w="132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71D23E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0.017</w:t>
            </w:r>
          </w:p>
        </w:tc>
        <w:tc>
          <w:tcPr>
            <w:tcW w:w="116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F2DCCF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0.90</w:t>
            </w:r>
          </w:p>
        </w:tc>
      </w:tr>
      <w:tr w14:paraId="68D1C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3BF938E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反应变差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969638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171(85.93)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EB3991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37(75.51)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B9CA58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134(89.33)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1070E1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5.837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78BD3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0.02</w:t>
            </w:r>
          </w:p>
        </w:tc>
      </w:tr>
      <w:tr w14:paraId="5910B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DACE00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喂养困难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5E0ACD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115(57.79)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EDEBCC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9(18.37)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94B128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106(70.67)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DA8A2A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41.415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F8A28F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14C42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706CA32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呼吸暂停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E03F5D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131(65.83)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32CA9C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26(53.06)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4A85D9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105(70.0)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859CC6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4.711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40203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0.03</w:t>
            </w:r>
          </w:p>
        </w:tc>
      </w:tr>
      <w:tr w14:paraId="4A0B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072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108" w:type="dxa"/>
              <w:right w:w="108" w:type="dxa"/>
            </w:tcMar>
            <w:vAlign w:val="center"/>
          </w:tcPr>
          <w:p w14:paraId="19542D2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发生休克</w:t>
            </w:r>
          </w:p>
        </w:tc>
        <w:tc>
          <w:tcPr>
            <w:tcW w:w="213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631F13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46(23.12)</w:t>
            </w:r>
          </w:p>
        </w:tc>
        <w:tc>
          <w:tcPr>
            <w:tcW w:w="1506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7FACED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3(6.12)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E90931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43(28.67)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A80AAE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10.562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32AA9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13453BAE"/>
    <w:rsid w:val="176111CC"/>
    <w:rsid w:val="23F077F6"/>
    <w:rsid w:val="2A1B4041"/>
    <w:rsid w:val="2B406814"/>
    <w:rsid w:val="306D69F2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23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2025-08-29T07:29:47Z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193FF170C2A743C09A91DC8BCC18A0E5_13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